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C101CB" w:rsidP="00C101CB">
      <w:pPr>
        <w:spacing w:after="0" w:line="240" w:lineRule="auto"/>
        <w:jc w:val="center"/>
        <w:textAlignment w:val="baseline"/>
        <w:outlineLvl w:val="0"/>
        <w:rPr>
          <w:rFonts w:ascii="Times New Roman" w:hAnsi="Times New Roman" w:cs="Times New Roman"/>
          <w:b/>
          <w:color w:val="000000"/>
        </w:rPr>
      </w:pPr>
      <w:r w:rsidRPr="00C101CB">
        <w:rPr>
          <w:rFonts w:ascii="Times New Roman" w:hAnsi="Times New Roman" w:cs="Times New Roman"/>
          <w:b/>
          <w:color w:val="000000"/>
        </w:rPr>
        <w:t>GENEL SAĞLIK SİGORTASI REHBERİ</w:t>
      </w:r>
    </w:p>
    <w:p w:rsidR="007465B9" w:rsidRPr="00C101CB" w:rsidRDefault="007465B9" w:rsidP="00C101CB">
      <w:pPr>
        <w:spacing w:after="0" w:line="240" w:lineRule="auto"/>
        <w:jc w:val="center"/>
        <w:textAlignment w:val="baseline"/>
        <w:outlineLvl w:val="0"/>
        <w:rPr>
          <w:rFonts w:ascii="Times New Roman" w:hAnsi="Times New Roman" w:cs="Times New Roman"/>
          <w:b/>
          <w:color w:val="000000"/>
        </w:rPr>
      </w:pPr>
    </w:p>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Pr="00C101CB" w:rsidRDefault="00C101CB" w:rsidP="00C101CB">
      <w:pPr>
        <w:spacing w:after="0" w:line="240" w:lineRule="auto"/>
        <w:jc w:val="both"/>
        <w:textAlignment w:val="baseline"/>
        <w:outlineLvl w:val="0"/>
        <w:rPr>
          <w:rFonts w:ascii="Times New Roman" w:hAnsi="Times New Roman" w:cs="Times New Roman"/>
          <w:color w:val="548DD4" w:themeColor="text2" w:themeTint="99"/>
        </w:rPr>
      </w:pPr>
      <w:r w:rsidRPr="00981496">
        <w:rPr>
          <w:rFonts w:ascii="Times New Roman" w:hAnsi="Times New Roman" w:cs="Times New Roman"/>
          <w:color w:val="548DD4" w:themeColor="text2" w:themeTint="99"/>
        </w:rPr>
        <w:t>Genel Sağlık Sigortası Kavramı neyi ifade etmektedir?</w:t>
      </w:r>
    </w:p>
    <w:p w:rsidR="00C101CB" w:rsidRPr="00981496" w:rsidRDefault="00C101CB" w:rsidP="00C101CB">
      <w:pPr>
        <w:spacing w:after="0" w:line="240" w:lineRule="auto"/>
        <w:jc w:val="both"/>
        <w:textAlignment w:val="baseline"/>
        <w:outlineLvl w:val="0"/>
        <w:rPr>
          <w:rFonts w:ascii="Times New Roman" w:hAnsi="Times New Roman" w:cs="Times New Roman"/>
          <w:color w:val="000000"/>
        </w:rPr>
      </w:pPr>
    </w:p>
    <w:p w:rsidR="00C101CB" w:rsidRPr="00981496" w:rsidRDefault="00C101CB" w:rsidP="00C101CB">
      <w:pPr>
        <w:spacing w:after="0" w:line="270" w:lineRule="atLeast"/>
        <w:ind w:firstLine="708"/>
        <w:jc w:val="both"/>
        <w:textAlignment w:val="baseline"/>
        <w:rPr>
          <w:rFonts w:ascii="Times New Roman" w:hAnsi="Times New Roman" w:cs="Times New Roman"/>
          <w:color w:val="000000"/>
        </w:rPr>
      </w:pPr>
      <w:r w:rsidRPr="00981496">
        <w:rPr>
          <w:rFonts w:ascii="Times New Roman" w:hAnsi="Times New Roman" w:cs="Times New Roman"/>
          <w:color w:val="000000"/>
        </w:rPr>
        <w:t>Genel sağlık sigortası; kişilerin öncelikle sağlıklarının korunmasını, sağlık riskleri ile karşılaşmaları halinde ise oluşan harcamaların finansmanını sağlayan sigortayı, ifade etmektedir.</w:t>
      </w:r>
      <w:r w:rsidRPr="00C101CB">
        <w:rPr>
          <w:rFonts w:ascii="Times New Roman" w:hAnsi="Times New Roman" w:cs="Times New Roman"/>
          <w:color w:val="000000"/>
        </w:rPr>
        <w:t xml:space="preserve"> Zorunlu olarak herkesin genel sağlık sigortası kapsamına alınması </w:t>
      </w:r>
      <w:proofErr w:type="gramStart"/>
      <w:r w:rsidRPr="00C101CB">
        <w:rPr>
          <w:rFonts w:ascii="Times New Roman" w:hAnsi="Times New Roman" w:cs="Times New Roman"/>
          <w:color w:val="000000"/>
        </w:rPr>
        <w:t>1/1/2012</w:t>
      </w:r>
      <w:proofErr w:type="gramEnd"/>
      <w:r w:rsidRPr="00C101CB">
        <w:rPr>
          <w:rFonts w:ascii="Times New Roman" w:hAnsi="Times New Roman" w:cs="Times New Roman"/>
          <w:color w:val="000000"/>
        </w:rPr>
        <w:t xml:space="preserve"> tarihinde başlamıştır.</w:t>
      </w:r>
    </w:p>
    <w:p w:rsidR="00220DEC" w:rsidRDefault="00220DEC" w:rsidP="00C101CB">
      <w:pPr>
        <w:pStyle w:val="NormalWeb"/>
        <w:shd w:val="clear" w:color="auto" w:fill="FFFFFF"/>
        <w:spacing w:before="0" w:beforeAutospacing="0" w:after="300" w:afterAutospacing="0"/>
        <w:jc w:val="both"/>
        <w:rPr>
          <w:rFonts w:eastAsiaTheme="minorHAnsi"/>
          <w:color w:val="548DD4" w:themeColor="text2" w:themeTint="99"/>
          <w:sz w:val="22"/>
          <w:szCs w:val="22"/>
          <w:lang w:eastAsia="en-US"/>
        </w:rPr>
      </w:pPr>
    </w:p>
    <w:p w:rsidR="00C101CB" w:rsidRPr="00C101CB" w:rsidRDefault="00C101CB" w:rsidP="00C101CB">
      <w:pPr>
        <w:pStyle w:val="NormalWeb"/>
        <w:shd w:val="clear" w:color="auto" w:fill="FFFFFF"/>
        <w:spacing w:before="0" w:beforeAutospacing="0" w:after="300" w:afterAutospacing="0"/>
        <w:jc w:val="both"/>
        <w:rPr>
          <w:rFonts w:eastAsiaTheme="minorHAnsi"/>
          <w:color w:val="548DD4" w:themeColor="text2" w:themeTint="99"/>
          <w:sz w:val="22"/>
          <w:szCs w:val="22"/>
          <w:lang w:eastAsia="en-US"/>
        </w:rPr>
      </w:pPr>
      <w:r w:rsidRPr="00C101CB">
        <w:rPr>
          <w:rFonts w:eastAsiaTheme="minorHAnsi"/>
          <w:color w:val="548DD4" w:themeColor="text2" w:themeTint="99"/>
          <w:sz w:val="22"/>
          <w:szCs w:val="22"/>
          <w:lang w:eastAsia="en-US"/>
        </w:rPr>
        <w:t xml:space="preserve">Gelir Testi Nedir herhangi bir süresi </w:t>
      </w:r>
      <w:proofErr w:type="spellStart"/>
      <w:proofErr w:type="gramStart"/>
      <w:r w:rsidRPr="00C101CB">
        <w:rPr>
          <w:rFonts w:eastAsiaTheme="minorHAnsi"/>
          <w:color w:val="548DD4" w:themeColor="text2" w:themeTint="99"/>
          <w:sz w:val="22"/>
          <w:szCs w:val="22"/>
          <w:lang w:eastAsia="en-US"/>
        </w:rPr>
        <w:t>varmıdır</w:t>
      </w:r>
      <w:proofErr w:type="spellEnd"/>
      <w:r w:rsidRPr="00C101CB">
        <w:rPr>
          <w:rFonts w:eastAsiaTheme="minorHAnsi"/>
          <w:color w:val="548DD4" w:themeColor="text2" w:themeTint="99"/>
          <w:sz w:val="22"/>
          <w:szCs w:val="22"/>
          <w:lang w:eastAsia="en-US"/>
        </w:rPr>
        <w:t xml:space="preserve"> ?</w:t>
      </w:r>
      <w:proofErr w:type="gramEnd"/>
    </w:p>
    <w:p w:rsidR="00C101CB" w:rsidRPr="00C101CB" w:rsidRDefault="00C101CB" w:rsidP="00C101CB">
      <w:pPr>
        <w:pStyle w:val="NormalWeb"/>
        <w:shd w:val="clear" w:color="auto" w:fill="FFFFFF"/>
        <w:spacing w:before="0" w:beforeAutospacing="0" w:after="300" w:afterAutospacing="0"/>
        <w:ind w:firstLine="708"/>
        <w:jc w:val="both"/>
        <w:rPr>
          <w:rFonts w:eastAsiaTheme="minorHAnsi"/>
          <w:color w:val="000000"/>
          <w:sz w:val="22"/>
          <w:szCs w:val="22"/>
          <w:lang w:eastAsia="en-US"/>
        </w:rPr>
      </w:pPr>
      <w:r w:rsidRPr="00C101CB">
        <w:rPr>
          <w:rFonts w:eastAsiaTheme="minorHAnsi"/>
          <w:color w:val="000000"/>
          <w:sz w:val="22"/>
          <w:szCs w:val="22"/>
          <w:lang w:eastAsia="en-US"/>
        </w:rPr>
        <w:t>Herhangi bir kapsamda sosyal güvencesi olmayan vatandaşların prim ödeyip ödeyemeyeceklerini; ödeyeceklerse ne kadar prim ödeyeceğini belirleyen işlem gelir testidir. Bu kapsamdaki vatandaşlarımız genel sağlık sigortalısı oldukları tarihten itibaren ikametlerinin bulunduğu yerdeki Sosyal Yardımlaşma ve Dayanışma Vakıflarına müracaat ederek gelir testi yaptırmaları gerekmektedir.</w:t>
      </w:r>
    </w:p>
    <w:p w:rsidR="00C101CB" w:rsidRDefault="00C101CB" w:rsidP="00C101CB">
      <w:pPr>
        <w:pStyle w:val="NormalWeb"/>
        <w:shd w:val="clear" w:color="auto" w:fill="FFFFFF"/>
        <w:spacing w:before="0" w:beforeAutospacing="0" w:after="300" w:afterAutospacing="0"/>
        <w:ind w:firstLine="708"/>
        <w:jc w:val="both"/>
        <w:rPr>
          <w:rFonts w:eastAsiaTheme="minorHAnsi"/>
          <w:color w:val="000000"/>
          <w:sz w:val="22"/>
          <w:szCs w:val="22"/>
          <w:lang w:eastAsia="en-US"/>
        </w:rPr>
      </w:pPr>
      <w:r w:rsidRPr="00C101CB">
        <w:rPr>
          <w:rFonts w:eastAsiaTheme="minorHAnsi"/>
          <w:color w:val="000000"/>
          <w:sz w:val="22"/>
          <w:szCs w:val="22"/>
          <w:lang w:eastAsia="en-US"/>
        </w:rPr>
        <w:t xml:space="preserve">Herhangi bir sosyal güvencesi olmaması nedeniyle GSS kapsamında resen tescil edilen kişilere durumlarını belirten bir tebligat gönderilmektedir.  Gelirinin aynı hanede yaşayan aile içinde kişi başına düşen tutarı asgari ücretin 1/3’ünün altında olduğunu düşünenler bu tebliğden itibaren 1 ay içinde gelir testi için yerleşim yerinin bulunduğu </w:t>
      </w:r>
      <w:proofErr w:type="spellStart"/>
      <w:r w:rsidRPr="00C101CB">
        <w:rPr>
          <w:rFonts w:eastAsiaTheme="minorHAnsi"/>
          <w:color w:val="000000"/>
          <w:sz w:val="22"/>
          <w:szCs w:val="22"/>
          <w:lang w:eastAsia="en-US"/>
        </w:rPr>
        <w:t>SYDV’ye</w:t>
      </w:r>
      <w:proofErr w:type="spellEnd"/>
      <w:r w:rsidRPr="00C101CB">
        <w:rPr>
          <w:rFonts w:eastAsiaTheme="minorHAnsi"/>
          <w:color w:val="000000"/>
          <w:sz w:val="22"/>
          <w:szCs w:val="22"/>
          <w:lang w:eastAsia="en-US"/>
        </w:rPr>
        <w:t xml:space="preserve"> müracaat etmeleri gerekmektedir.</w:t>
      </w:r>
    </w:p>
    <w:p w:rsidR="00220DEC" w:rsidRDefault="00220DEC" w:rsidP="00C101CB">
      <w:pPr>
        <w:pStyle w:val="NormalWeb"/>
        <w:shd w:val="clear" w:color="auto" w:fill="FFFFFF"/>
        <w:spacing w:before="0" w:beforeAutospacing="0" w:after="300" w:afterAutospacing="0"/>
        <w:ind w:firstLine="708"/>
        <w:jc w:val="both"/>
        <w:rPr>
          <w:rFonts w:eastAsiaTheme="minorHAnsi"/>
          <w:color w:val="000000"/>
          <w:sz w:val="22"/>
          <w:szCs w:val="22"/>
          <w:lang w:eastAsia="en-US"/>
        </w:rPr>
      </w:pPr>
    </w:p>
    <w:p w:rsidR="00C101CB" w:rsidRPr="00C101CB" w:rsidRDefault="00C101CB" w:rsidP="00C101CB">
      <w:pPr>
        <w:pStyle w:val="NormalWeb"/>
        <w:shd w:val="clear" w:color="auto" w:fill="FFFFFF"/>
        <w:spacing w:before="0" w:beforeAutospacing="0" w:after="300" w:afterAutospacing="0"/>
        <w:jc w:val="both"/>
        <w:rPr>
          <w:rFonts w:eastAsiaTheme="minorHAnsi"/>
          <w:color w:val="548DD4" w:themeColor="text2" w:themeTint="99"/>
          <w:sz w:val="22"/>
          <w:szCs w:val="22"/>
          <w:lang w:eastAsia="en-US"/>
        </w:rPr>
      </w:pPr>
      <w:r w:rsidRPr="00C101CB">
        <w:rPr>
          <w:rFonts w:eastAsiaTheme="minorHAnsi"/>
          <w:color w:val="548DD4" w:themeColor="text2" w:themeTint="99"/>
          <w:sz w:val="22"/>
          <w:szCs w:val="22"/>
          <w:lang w:eastAsia="en-US"/>
        </w:rPr>
        <w:t xml:space="preserve">Genel Sağlık Sigortası Prim Tutarı Ne </w:t>
      </w:r>
      <w:proofErr w:type="gramStart"/>
      <w:r w:rsidRPr="00C101CB">
        <w:rPr>
          <w:rFonts w:eastAsiaTheme="minorHAnsi"/>
          <w:color w:val="548DD4" w:themeColor="text2" w:themeTint="99"/>
          <w:sz w:val="22"/>
          <w:szCs w:val="22"/>
          <w:lang w:eastAsia="en-US"/>
        </w:rPr>
        <w:t>kadardır ?</w:t>
      </w:r>
      <w:proofErr w:type="gramEnd"/>
    </w:p>
    <w:p w:rsidR="00C101CB" w:rsidRPr="00C101CB" w:rsidRDefault="00C101CB" w:rsidP="00C101CB">
      <w:pPr>
        <w:pStyle w:val="NormalWeb"/>
        <w:shd w:val="clear" w:color="auto" w:fill="FFFFFF"/>
        <w:spacing w:before="0" w:beforeAutospacing="0" w:after="300" w:afterAutospacing="0"/>
        <w:ind w:firstLine="708"/>
        <w:jc w:val="both"/>
        <w:rPr>
          <w:rFonts w:eastAsiaTheme="minorHAnsi"/>
          <w:color w:val="000000"/>
          <w:sz w:val="22"/>
          <w:szCs w:val="22"/>
          <w:lang w:eastAsia="en-US"/>
        </w:rPr>
      </w:pPr>
      <w:r>
        <w:rPr>
          <w:rFonts w:eastAsiaTheme="minorHAnsi"/>
          <w:color w:val="000000"/>
          <w:sz w:val="22"/>
          <w:szCs w:val="22"/>
          <w:lang w:eastAsia="en-US"/>
        </w:rPr>
        <w:t xml:space="preserve">6824 sayılı yasa ile beraber son durum </w:t>
      </w:r>
      <w:r w:rsidRPr="00C101CB">
        <w:rPr>
          <w:rFonts w:eastAsiaTheme="minorHAnsi"/>
          <w:color w:val="000000"/>
          <w:sz w:val="22"/>
          <w:szCs w:val="22"/>
          <w:lang w:eastAsia="en-US"/>
        </w:rPr>
        <w:t>Asgari ücretin üçte birinin üstünde ise  asgari ücretin %3’ü üzerinden 2017 yılı için 53,33 TL prim ödenmektedir. Gelir Asgari ücretin üçte birinin altında ise Gelir testi yapılarak herhangi bir prim ödenmemektedir.</w:t>
      </w:r>
    </w:p>
    <w:p w:rsidR="00C101CB" w:rsidRDefault="00C101CB" w:rsidP="00C101CB">
      <w:pPr>
        <w:spacing w:after="0" w:line="240" w:lineRule="auto"/>
        <w:jc w:val="both"/>
        <w:textAlignment w:val="baseline"/>
        <w:outlineLvl w:val="0"/>
        <w:rPr>
          <w:rFonts w:ascii="Times New Roman" w:hAnsi="Times New Roman" w:cs="Times New Roman"/>
          <w:color w:val="000000"/>
        </w:rPr>
      </w:pPr>
      <w:proofErr w:type="spellStart"/>
      <w:r w:rsidRPr="00013AC8">
        <w:rPr>
          <w:rFonts w:ascii="Times New Roman" w:hAnsi="Times New Roman" w:cs="Times New Roman"/>
          <w:color w:val="000000"/>
        </w:rPr>
        <w:t>GSS’lilerin</w:t>
      </w:r>
      <w:proofErr w:type="spellEnd"/>
      <w:r w:rsidRPr="00013AC8">
        <w:rPr>
          <w:rFonts w:ascii="Times New Roman" w:hAnsi="Times New Roman" w:cs="Times New Roman"/>
          <w:color w:val="000000"/>
        </w:rPr>
        <w:t xml:space="preserve"> gerek primi kendi cebinden ödeyenler gerekse de devlet tarafından karşılananlar için sağlıktan yararlanma şartları ne şekilde aynı mıdır?</w:t>
      </w:r>
    </w:p>
    <w:p w:rsidR="00C101CB" w:rsidRPr="00013AC8"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C101CB" w:rsidP="00C101CB">
      <w:pPr>
        <w:spacing w:after="0" w:line="270" w:lineRule="atLeast"/>
        <w:ind w:firstLine="708"/>
        <w:jc w:val="both"/>
        <w:textAlignment w:val="baseline"/>
        <w:rPr>
          <w:rFonts w:ascii="Times New Roman" w:hAnsi="Times New Roman" w:cs="Times New Roman"/>
          <w:color w:val="000000"/>
        </w:rPr>
      </w:pPr>
      <w:r w:rsidRPr="00013AC8">
        <w:rPr>
          <w:rFonts w:ascii="Times New Roman" w:hAnsi="Times New Roman" w:cs="Times New Roman"/>
          <w:color w:val="000000"/>
        </w:rPr>
        <w:t>İki grup arasın</w:t>
      </w:r>
      <w:r>
        <w:rPr>
          <w:rFonts w:ascii="Times New Roman" w:hAnsi="Times New Roman" w:cs="Times New Roman"/>
          <w:color w:val="000000"/>
        </w:rPr>
        <w:t xml:space="preserve">dan bu farklılık göstermektedir. </w:t>
      </w:r>
      <w:r w:rsidRPr="00013AC8">
        <w:rPr>
          <w:rFonts w:ascii="Times New Roman" w:hAnsi="Times New Roman" w:cs="Times New Roman"/>
          <w:color w:val="000000"/>
        </w:rPr>
        <w:t xml:space="preserve">60/c-1 (eski </w:t>
      </w:r>
      <w:proofErr w:type="spellStart"/>
      <w:r w:rsidRPr="00013AC8">
        <w:rPr>
          <w:rFonts w:ascii="Times New Roman" w:hAnsi="Times New Roman" w:cs="Times New Roman"/>
          <w:color w:val="000000"/>
        </w:rPr>
        <w:t>yeşilkartlılar</w:t>
      </w:r>
      <w:proofErr w:type="spellEnd"/>
      <w:r w:rsidRPr="00013AC8">
        <w:rPr>
          <w:rFonts w:ascii="Times New Roman" w:hAnsi="Times New Roman" w:cs="Times New Roman"/>
          <w:color w:val="000000"/>
        </w:rPr>
        <w:t>) sigortalılarının sağlık hizmet sunucularına müracaat etmeleri halinde herhangi bir şart aranmamaktadır. Bu kapsamda sigortalı olunduğu andan itibaren sağlık hizmetlerinden yararlanılabilmektedir.</w:t>
      </w:r>
    </w:p>
    <w:p w:rsidR="00C101CB" w:rsidRPr="00013AC8" w:rsidRDefault="00C101CB" w:rsidP="00C101CB">
      <w:pPr>
        <w:spacing w:after="0" w:line="270" w:lineRule="atLeast"/>
        <w:ind w:firstLine="708"/>
        <w:jc w:val="both"/>
        <w:textAlignment w:val="baseline"/>
        <w:rPr>
          <w:rFonts w:ascii="Times New Roman" w:hAnsi="Times New Roman" w:cs="Times New Roman"/>
          <w:color w:val="000000"/>
        </w:rPr>
      </w:pPr>
    </w:p>
    <w:p w:rsidR="00C101CB" w:rsidRDefault="00C101CB" w:rsidP="00C101CB">
      <w:pPr>
        <w:spacing w:after="0" w:line="270" w:lineRule="atLeast"/>
        <w:jc w:val="both"/>
        <w:textAlignment w:val="baseline"/>
        <w:rPr>
          <w:rFonts w:ascii="Times New Roman" w:hAnsi="Times New Roman" w:cs="Times New Roman"/>
          <w:color w:val="000000"/>
        </w:rPr>
      </w:pPr>
      <w:r w:rsidRPr="00013AC8">
        <w:rPr>
          <w:rFonts w:ascii="Times New Roman" w:hAnsi="Times New Roman" w:cs="Times New Roman"/>
          <w:color w:val="000000"/>
        </w:rPr>
        <w:t>60/g kapsamındaki primini kendi cebinden ödeyen kişiler için ise 2 temel kural bulunmaktadır; bu kişilerin 30 gün prim ödemesinin bulunması ve 60 günden fazla prim borcunun bulunmaması gerekmektedir.</w:t>
      </w:r>
    </w:p>
    <w:p w:rsidR="00220DEC" w:rsidRPr="00013AC8" w:rsidRDefault="00220DEC" w:rsidP="00C101CB">
      <w:pPr>
        <w:spacing w:after="0" w:line="270" w:lineRule="atLeast"/>
        <w:jc w:val="both"/>
        <w:textAlignment w:val="baseline"/>
        <w:rPr>
          <w:rFonts w:ascii="Times New Roman" w:hAnsi="Times New Roman" w:cs="Times New Roman"/>
          <w:color w:val="000000"/>
        </w:rPr>
      </w:pPr>
    </w:p>
    <w:p w:rsidR="00C101CB" w:rsidRPr="00013AC8" w:rsidRDefault="00C101CB" w:rsidP="00C101CB">
      <w:pPr>
        <w:spacing w:after="0" w:line="270" w:lineRule="atLeast"/>
        <w:jc w:val="both"/>
        <w:textAlignment w:val="baseline"/>
        <w:rPr>
          <w:rFonts w:ascii="Times New Roman" w:hAnsi="Times New Roman" w:cs="Times New Roman"/>
          <w:color w:val="000000"/>
        </w:rPr>
      </w:pPr>
      <w:r w:rsidRPr="00013AC8">
        <w:rPr>
          <w:rFonts w:ascii="Times New Roman" w:hAnsi="Times New Roman" w:cs="Times New Roman"/>
          <w:color w:val="000000"/>
        </w:rPr>
        <w:t xml:space="preserve">Bu kurallar ile birlikte 6284 sayılı Torba yasa geçmiş dönem prim borçları için sağlık hizmetlerinden faydalanma noktasında sigortalılara kolaylık getirmektedir. 60/g sigortalıları on iki aylık süre içerisinde sağlık hizmet sunucusuna müracaat ettiklerinde 30 gün prim ödemesi ve cari dönem 60 günden fazla borcunun da bulunmaması şartıyla geçmiş dönem </w:t>
      </w:r>
      <w:proofErr w:type="spellStart"/>
      <w:r w:rsidRPr="00013AC8">
        <w:rPr>
          <w:rFonts w:ascii="Times New Roman" w:hAnsi="Times New Roman" w:cs="Times New Roman"/>
          <w:color w:val="000000"/>
        </w:rPr>
        <w:t>gss</w:t>
      </w:r>
      <w:proofErr w:type="spellEnd"/>
      <w:r w:rsidRPr="00013AC8">
        <w:rPr>
          <w:rFonts w:ascii="Times New Roman" w:hAnsi="Times New Roman" w:cs="Times New Roman"/>
          <w:color w:val="000000"/>
        </w:rPr>
        <w:t xml:space="preserve"> prim borçları sorgulanmadan sağlık hizmeti alabileceklerdir.</w:t>
      </w: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220DEC" w:rsidRDefault="00220DEC" w:rsidP="00C101CB">
      <w:pPr>
        <w:spacing w:after="0" w:line="240" w:lineRule="auto"/>
        <w:textAlignment w:val="baseline"/>
        <w:outlineLvl w:val="0"/>
        <w:rPr>
          <w:rFonts w:ascii="Times New Roman" w:hAnsi="Times New Roman" w:cs="Times New Roman"/>
          <w:color w:val="548DD4" w:themeColor="text2" w:themeTint="99"/>
        </w:rPr>
      </w:pPr>
    </w:p>
    <w:p w:rsidR="00C101CB" w:rsidRDefault="00C101CB" w:rsidP="00C101CB">
      <w:pPr>
        <w:spacing w:after="0" w:line="240" w:lineRule="auto"/>
        <w:textAlignment w:val="baseline"/>
        <w:outlineLvl w:val="0"/>
        <w:rPr>
          <w:rFonts w:ascii="Times New Roman" w:hAnsi="Times New Roman" w:cs="Times New Roman"/>
          <w:color w:val="548DD4" w:themeColor="text2" w:themeTint="99"/>
        </w:rPr>
      </w:pPr>
      <w:r w:rsidRPr="00013AC8">
        <w:rPr>
          <w:rFonts w:ascii="Times New Roman" w:hAnsi="Times New Roman" w:cs="Times New Roman"/>
          <w:color w:val="548DD4" w:themeColor="text2" w:themeTint="99"/>
        </w:rPr>
        <w:t>Genel Sağlık Sigortası kapsamında getirilen diğer yenilikler nelerdir?</w:t>
      </w:r>
    </w:p>
    <w:p w:rsidR="00220DEC" w:rsidRPr="00013AC8" w:rsidRDefault="00220DEC" w:rsidP="00C101CB">
      <w:pPr>
        <w:spacing w:after="0" w:line="240" w:lineRule="auto"/>
        <w:textAlignment w:val="baseline"/>
        <w:outlineLvl w:val="0"/>
        <w:rPr>
          <w:rFonts w:ascii="Times New Roman" w:hAnsi="Times New Roman" w:cs="Times New Roman"/>
          <w:color w:val="548DD4" w:themeColor="text2" w:themeTint="99"/>
        </w:rPr>
      </w:pPr>
    </w:p>
    <w:p w:rsidR="00AE740E" w:rsidRDefault="00C101CB" w:rsidP="00AE740E">
      <w:pPr>
        <w:spacing w:after="0" w:line="270" w:lineRule="atLeast"/>
        <w:ind w:firstLine="708"/>
        <w:jc w:val="both"/>
        <w:textAlignment w:val="baseline"/>
        <w:rPr>
          <w:rFonts w:ascii="Times New Roman" w:hAnsi="Times New Roman" w:cs="Times New Roman"/>
          <w:color w:val="000000"/>
        </w:rPr>
      </w:pPr>
      <w:r w:rsidRPr="00013AC8">
        <w:rPr>
          <w:rFonts w:ascii="Times New Roman" w:hAnsi="Times New Roman" w:cs="Times New Roman"/>
          <w:color w:val="000000"/>
        </w:rPr>
        <w:t xml:space="preserve">Gençlerimiz için mezuniyet tarihinden itibaren belli yaş ve süre sınırı olmak üzere sağlık hizmetlerinden ücretsiz yararlanma </w:t>
      </w:r>
      <w:proofErr w:type="gramStart"/>
      <w:r w:rsidRPr="00013AC8">
        <w:rPr>
          <w:rFonts w:ascii="Times New Roman" w:hAnsi="Times New Roman" w:cs="Times New Roman"/>
          <w:color w:val="000000"/>
        </w:rPr>
        <w:t>imkanı</w:t>
      </w:r>
      <w:proofErr w:type="gramEnd"/>
      <w:r w:rsidRPr="00013AC8">
        <w:rPr>
          <w:rFonts w:ascii="Times New Roman" w:hAnsi="Times New Roman" w:cs="Times New Roman"/>
          <w:color w:val="000000"/>
        </w:rPr>
        <w:t xml:space="preserve"> getirilmiştir. </w:t>
      </w:r>
    </w:p>
    <w:p w:rsidR="00AE740E" w:rsidRDefault="00AE740E" w:rsidP="00AE740E">
      <w:pPr>
        <w:spacing w:after="0" w:line="270" w:lineRule="atLeast"/>
        <w:ind w:firstLine="708"/>
        <w:jc w:val="both"/>
        <w:textAlignment w:val="baseline"/>
        <w:rPr>
          <w:rFonts w:ascii="Times New Roman" w:hAnsi="Times New Roman" w:cs="Times New Roman"/>
          <w:color w:val="000000"/>
        </w:rPr>
      </w:pPr>
    </w:p>
    <w:p w:rsidR="00AE740E" w:rsidRDefault="00C101CB" w:rsidP="00AE740E">
      <w:pPr>
        <w:spacing w:after="0" w:line="270" w:lineRule="atLeast"/>
        <w:ind w:firstLine="708"/>
        <w:jc w:val="both"/>
        <w:textAlignment w:val="baseline"/>
        <w:rPr>
          <w:rFonts w:ascii="Times New Roman" w:hAnsi="Times New Roman" w:cs="Times New Roman"/>
          <w:color w:val="000000"/>
        </w:rPr>
      </w:pPr>
      <w:r w:rsidRPr="00013AC8">
        <w:rPr>
          <w:rFonts w:ascii="Times New Roman" w:hAnsi="Times New Roman" w:cs="Times New Roman"/>
          <w:color w:val="000000"/>
        </w:rPr>
        <w:t xml:space="preserve">6663 sayılı Gelir Vergisi Kanunu ve Bazı Kanunlarda Değişiklik Yapılmasına Dair Kanun ile 10.2.2016 tarihinden itibaren Lise mezunu gençlerimize 20, üniversite mezunu gençlerimize 25 yaşına kadar anne ya da babasından iki yıl boyunca bakmakla yükümlü olarak, </w:t>
      </w:r>
    </w:p>
    <w:p w:rsidR="00AE740E" w:rsidRDefault="00AE740E" w:rsidP="00AE740E">
      <w:pPr>
        <w:spacing w:after="0" w:line="270" w:lineRule="atLeast"/>
        <w:ind w:firstLine="708"/>
        <w:jc w:val="both"/>
        <w:textAlignment w:val="baseline"/>
        <w:rPr>
          <w:rFonts w:ascii="Times New Roman" w:hAnsi="Times New Roman" w:cs="Times New Roman"/>
          <w:color w:val="000000"/>
        </w:rPr>
      </w:pPr>
      <w:bookmarkStart w:id="0" w:name="_GoBack"/>
      <w:bookmarkEnd w:id="0"/>
    </w:p>
    <w:p w:rsidR="00C101CB" w:rsidRDefault="00C101CB" w:rsidP="00AE740E">
      <w:pPr>
        <w:spacing w:after="0" w:line="270" w:lineRule="atLeast"/>
        <w:ind w:firstLine="708"/>
        <w:jc w:val="both"/>
        <w:textAlignment w:val="baseline"/>
        <w:rPr>
          <w:rFonts w:ascii="Times New Roman" w:hAnsi="Times New Roman" w:cs="Times New Roman"/>
          <w:color w:val="000000"/>
        </w:rPr>
      </w:pPr>
      <w:proofErr w:type="gramStart"/>
      <w:r w:rsidRPr="00013AC8">
        <w:rPr>
          <w:rFonts w:ascii="Times New Roman" w:hAnsi="Times New Roman" w:cs="Times New Roman"/>
          <w:color w:val="000000"/>
        </w:rPr>
        <w:t>anne</w:t>
      </w:r>
      <w:proofErr w:type="gramEnd"/>
      <w:r w:rsidRPr="00013AC8">
        <w:rPr>
          <w:rFonts w:ascii="Times New Roman" w:hAnsi="Times New Roman" w:cs="Times New Roman"/>
          <w:color w:val="000000"/>
        </w:rPr>
        <w:t xml:space="preserve"> veya babasından yararlanamıyor ise gelir testi yaptırmaksızın 60/c-1dediğimiz primi devlet tarafından karşılanmak üzere genel sağlık</w:t>
      </w:r>
      <w:r w:rsidR="00220DEC">
        <w:rPr>
          <w:rFonts w:ascii="Times New Roman" w:hAnsi="Times New Roman" w:cs="Times New Roman"/>
          <w:color w:val="000000"/>
        </w:rPr>
        <w:t xml:space="preserve"> sigortalısı olmaları sağlanmıştır.</w:t>
      </w:r>
    </w:p>
    <w:p w:rsidR="00874EB2" w:rsidRDefault="00874EB2" w:rsidP="00C101CB">
      <w:pPr>
        <w:spacing w:after="0" w:line="270" w:lineRule="atLeast"/>
        <w:jc w:val="both"/>
        <w:textAlignment w:val="baseline"/>
        <w:rPr>
          <w:rFonts w:ascii="Times New Roman" w:hAnsi="Times New Roman" w:cs="Times New Roman"/>
          <w:color w:val="000000"/>
        </w:rPr>
      </w:pPr>
    </w:p>
    <w:p w:rsidR="003A2C31" w:rsidRDefault="003A2C31" w:rsidP="00C101CB">
      <w:pPr>
        <w:spacing w:after="0" w:line="270" w:lineRule="atLeast"/>
        <w:jc w:val="both"/>
        <w:textAlignment w:val="baseline"/>
        <w:rPr>
          <w:rFonts w:ascii="Times New Roman" w:hAnsi="Times New Roman" w:cs="Times New Roman"/>
          <w:color w:val="000000"/>
        </w:rPr>
      </w:pPr>
    </w:p>
    <w:p w:rsidR="003A2C31" w:rsidRPr="00AE740E" w:rsidRDefault="003A2C31" w:rsidP="00AE740E">
      <w:pPr>
        <w:pStyle w:val="KonuBal"/>
        <w:rPr>
          <w:sz w:val="28"/>
          <w:szCs w:val="28"/>
        </w:rPr>
      </w:pPr>
      <w:r w:rsidRPr="00AE740E">
        <w:rPr>
          <w:sz w:val="28"/>
          <w:szCs w:val="28"/>
        </w:rPr>
        <w:t>İsmail ATMANLIOĞLU</w:t>
      </w:r>
    </w:p>
    <w:p w:rsidR="003A2C31" w:rsidRPr="00AE740E" w:rsidRDefault="003A2C31" w:rsidP="00AE740E">
      <w:pPr>
        <w:pStyle w:val="KonuBal"/>
        <w:rPr>
          <w:sz w:val="28"/>
          <w:szCs w:val="28"/>
        </w:rPr>
      </w:pPr>
      <w:proofErr w:type="spellStart"/>
      <w:r w:rsidRPr="00AE740E">
        <w:rPr>
          <w:sz w:val="28"/>
          <w:szCs w:val="28"/>
        </w:rPr>
        <w:t>S.M.Mali</w:t>
      </w:r>
      <w:proofErr w:type="spellEnd"/>
      <w:r w:rsidRPr="00AE740E">
        <w:rPr>
          <w:sz w:val="28"/>
          <w:szCs w:val="28"/>
        </w:rPr>
        <w:t xml:space="preserve"> Müşavir</w:t>
      </w:r>
    </w:p>
    <w:p w:rsidR="00874EB2" w:rsidRPr="00AE740E" w:rsidRDefault="00874EB2" w:rsidP="00AE740E">
      <w:pPr>
        <w:pStyle w:val="KonuBal"/>
        <w:rPr>
          <w:sz w:val="28"/>
          <w:szCs w:val="28"/>
        </w:rPr>
      </w:pPr>
      <w:r w:rsidRPr="00AE740E">
        <w:rPr>
          <w:sz w:val="28"/>
          <w:szCs w:val="28"/>
        </w:rPr>
        <w:t>28 / 07 / 2017</w:t>
      </w: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F95603" w:rsidRPr="00C101CB" w:rsidRDefault="00F95603" w:rsidP="00C101CB">
      <w:pPr>
        <w:rPr>
          <w:rFonts w:ascii="Times New Roman" w:hAnsi="Times New Roman" w:cs="Times New Roman"/>
          <w:color w:val="000000"/>
        </w:rPr>
      </w:pPr>
    </w:p>
    <w:sectPr w:rsidR="00F95603" w:rsidRPr="00C101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FC" w:rsidRDefault="006065FC" w:rsidP="007978FE">
      <w:pPr>
        <w:spacing w:after="0" w:line="240" w:lineRule="auto"/>
      </w:pPr>
      <w:r>
        <w:separator/>
      </w:r>
    </w:p>
  </w:endnote>
  <w:endnote w:type="continuationSeparator" w:id="0">
    <w:p w:rsidR="006065FC" w:rsidRDefault="006065FC"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FC" w:rsidRDefault="006065FC" w:rsidP="007978FE">
      <w:pPr>
        <w:spacing w:after="0" w:line="240" w:lineRule="auto"/>
      </w:pPr>
      <w:r>
        <w:separator/>
      </w:r>
    </w:p>
  </w:footnote>
  <w:footnote w:type="continuationSeparator" w:id="0">
    <w:p w:rsidR="006065FC" w:rsidRDefault="006065FC"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5063"/>
    <w:rsid w:val="00063A63"/>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2D13"/>
    <w:rsid w:val="00B4301E"/>
    <w:rsid w:val="00B51309"/>
    <w:rsid w:val="00B56FEE"/>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485</Words>
  <Characters>2769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2017-07-26T12:56:00Z</cp:lastPrinted>
  <dcterms:created xsi:type="dcterms:W3CDTF">2017-07-26T08:04:00Z</dcterms:created>
  <dcterms:modified xsi:type="dcterms:W3CDTF">2017-07-28T07:55:00Z</dcterms:modified>
</cp:coreProperties>
</file>