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70" w:rsidRDefault="00B52570" w:rsidP="00B865AB">
      <w:pPr>
        <w:jc w:val="center"/>
        <w:rPr>
          <w:rFonts w:ascii="Tahoma" w:hAnsi="Tahoma" w:cs="Tahoma"/>
          <w:b/>
          <w:bCs/>
          <w:color w:val="548DD4" w:themeColor="text2" w:themeTint="99"/>
        </w:rPr>
      </w:pPr>
    </w:p>
    <w:p w:rsidR="00B865AB" w:rsidRPr="00B865AB" w:rsidRDefault="00B865AB" w:rsidP="00B865AB">
      <w:pPr>
        <w:jc w:val="center"/>
        <w:rPr>
          <w:rFonts w:ascii="Tahoma" w:hAnsi="Tahoma" w:cs="Tahoma"/>
          <w:b/>
          <w:bCs/>
          <w:color w:val="548DD4" w:themeColor="text2" w:themeTint="99"/>
          <w:sz w:val="18"/>
          <w:szCs w:val="18"/>
        </w:rPr>
      </w:pPr>
      <w:r w:rsidRPr="00B865AB">
        <w:rPr>
          <w:rFonts w:ascii="Tahoma" w:hAnsi="Tahoma" w:cs="Tahoma"/>
          <w:b/>
          <w:bCs/>
          <w:color w:val="548DD4" w:themeColor="text2" w:themeTint="99"/>
        </w:rPr>
        <w:t>İŞVERENLERİN ASGARİ ÜCRET İLE İMTİHANI...</w:t>
      </w:r>
    </w:p>
    <w:p w:rsidR="00B865AB" w:rsidRDefault="00B865AB" w:rsidP="00B865AB">
      <w:pPr>
        <w:rPr>
          <w:rFonts w:ascii="Tahoma" w:hAnsi="Tahoma" w:cs="Tahoma"/>
          <w:b/>
          <w:bCs/>
          <w:color w:val="000000"/>
          <w:sz w:val="18"/>
          <w:szCs w:val="18"/>
        </w:rPr>
      </w:pPr>
      <w:r>
        <w:rPr>
          <w:rFonts w:ascii="Tahoma" w:hAnsi="Tahoma" w:cs="Tahoma"/>
          <w:b/>
          <w:bCs/>
          <w:color w:val="000000"/>
          <w:sz w:val="18"/>
          <w:szCs w:val="18"/>
        </w:rPr>
        <w:t>24.11.2015</w:t>
      </w:r>
    </w:p>
    <w:p w:rsidR="00B865AB" w:rsidRDefault="00B865AB" w:rsidP="00B865AB">
      <w:pPr>
        <w:pStyle w:val="NormalWeb"/>
        <w:rPr>
          <w:rFonts w:ascii="Tahoma" w:hAnsi="Tahoma" w:cs="Tahoma"/>
          <w:color w:val="000000"/>
          <w:sz w:val="20"/>
          <w:szCs w:val="20"/>
        </w:rPr>
      </w:pPr>
      <w:r>
        <w:rPr>
          <w:rFonts w:ascii="Tahoma" w:hAnsi="Tahoma" w:cs="Tahoma"/>
          <w:color w:val="000000"/>
          <w:sz w:val="20"/>
          <w:szCs w:val="20"/>
        </w:rPr>
        <w:t>Bu çalışmada asgari ücretin tanımı, asgari ücretin nasıl ve kimler tarafından belirlendiği, asgari ücretin işverene yükü örneklerle desteklenerek açıklanmaya çalışılmıştır.</w:t>
      </w:r>
    </w:p>
    <w:p w:rsidR="00B865AB" w:rsidRDefault="00B865AB" w:rsidP="00B865AB">
      <w:pPr>
        <w:spacing w:before="100" w:beforeAutospacing="1" w:after="120"/>
        <w:rPr>
          <w:rFonts w:ascii="Times New Roman" w:hAnsi="Times New Roman" w:cs="Times New Roman"/>
          <w:color w:val="000000"/>
          <w:sz w:val="24"/>
          <w:szCs w:val="24"/>
        </w:rPr>
      </w:pPr>
      <w:r>
        <w:rPr>
          <w:rFonts w:ascii="Tahoma" w:hAnsi="Tahoma" w:cs="Tahoma"/>
          <w:b/>
          <w:bCs/>
          <w:color w:val="000000"/>
          <w:sz w:val="20"/>
          <w:szCs w:val="20"/>
        </w:rPr>
        <w:t>Asgari ücret nedir?</w:t>
      </w:r>
    </w:p>
    <w:p w:rsidR="00B865AB" w:rsidRDefault="00B865AB" w:rsidP="00B865AB">
      <w:pPr>
        <w:spacing w:before="100" w:beforeAutospacing="1" w:after="120"/>
        <w:rPr>
          <w:color w:val="000000"/>
        </w:rPr>
      </w:pPr>
      <w:r>
        <w:rPr>
          <w:rFonts w:ascii="Tahoma" w:hAnsi="Tahoma" w:cs="Tahoma"/>
          <w:color w:val="000000"/>
          <w:sz w:val="20"/>
          <w:szCs w:val="20"/>
        </w:rPr>
        <w:t>Çalışan bir kişinin en azından temel ihtiyaçlarını karşılayarak insanca yaşamalarına olanak tanıyan ve işveren tarafından ödenmesi zorunlu en düşük ücret olarak tanımlanmaktadır.</w:t>
      </w:r>
    </w:p>
    <w:p w:rsidR="00B865AB" w:rsidRDefault="00B865AB" w:rsidP="00B865AB">
      <w:pPr>
        <w:spacing w:before="100" w:beforeAutospacing="1" w:after="120"/>
        <w:rPr>
          <w:color w:val="000000"/>
        </w:rPr>
      </w:pPr>
      <w:r>
        <w:rPr>
          <w:rFonts w:ascii="Tahoma" w:hAnsi="Tahoma" w:cs="Tahoma"/>
          <w:b/>
          <w:bCs/>
          <w:color w:val="000000"/>
          <w:sz w:val="20"/>
          <w:szCs w:val="20"/>
        </w:rPr>
        <w:t>Asgari ücreti kim belirler?</w:t>
      </w:r>
    </w:p>
    <w:p w:rsidR="00B865AB" w:rsidRDefault="00B865AB" w:rsidP="00B865AB">
      <w:pPr>
        <w:spacing w:before="100" w:beforeAutospacing="1" w:after="120"/>
        <w:rPr>
          <w:color w:val="000000"/>
        </w:rPr>
      </w:pPr>
      <w:r>
        <w:rPr>
          <w:rFonts w:ascii="Tahoma" w:hAnsi="Tahoma" w:cs="Tahoma"/>
          <w:color w:val="000000"/>
          <w:sz w:val="20"/>
          <w:szCs w:val="20"/>
        </w:rPr>
        <w:t>Asgari Ücret Tespit Komisyonu tarafından belirlenir. Bu komisyon Çalışma ve Sosyal Güvenlik Bakanlığı'nın tespit edeceği üyelerden birisinin başkanlığında;</w:t>
      </w:r>
    </w:p>
    <w:p w:rsidR="00B865AB" w:rsidRDefault="00B865AB" w:rsidP="00B865AB">
      <w:pPr>
        <w:spacing w:before="100" w:beforeAutospacing="1" w:after="120"/>
        <w:rPr>
          <w:color w:val="000000"/>
        </w:rPr>
      </w:pPr>
      <w:r>
        <w:rPr>
          <w:rFonts w:ascii="Tahoma" w:hAnsi="Tahoma" w:cs="Tahoma"/>
          <w:color w:val="000000"/>
          <w:sz w:val="20"/>
          <w:szCs w:val="20"/>
        </w:rPr>
        <w:t>Bakanlık Çalışma Genel Müdürü veya yardımcısı, Bakanlık İş Sağlığı ve Güvenliği Genel Müdürü veya yardımcısı, Devlet İstatistik Enstitüsü Ekonomik İstatistikler Dairesi Başkanı veya yardımcısı, (İşgücü, Hizmetler, Fiyat İstatistikleri ve İndeksler Dairesi Başkanlığı). Hazine Müsteşarlığı temsilcisi, Devlet Planlama Teşkilatı Müsteşarlığı'ndan konu ile ilgili dairenin başkanı veya yetki vereceği bir görevli, Bünyesinde en çok işçiyi bulunduran en üst işçi kuruluşunun değişik işkolları için seçeceği beş temsilci, Bünyesinde en çok işvereni bulunduran işveren kuruluşunun değişik işkolları için seçeceği beş temsilciden kurulmaktadır.</w:t>
      </w:r>
    </w:p>
    <w:p w:rsidR="00B865AB" w:rsidRDefault="00B865AB" w:rsidP="00B865AB">
      <w:pPr>
        <w:spacing w:before="100" w:beforeAutospacing="1" w:after="120"/>
        <w:rPr>
          <w:color w:val="000000"/>
        </w:rPr>
      </w:pPr>
      <w:r>
        <w:rPr>
          <w:rFonts w:ascii="Tahoma" w:hAnsi="Tahoma" w:cs="Tahoma"/>
          <w:b/>
          <w:bCs/>
          <w:color w:val="000000"/>
          <w:sz w:val="20"/>
          <w:szCs w:val="20"/>
        </w:rPr>
        <w:t>Asgari ücret nasıl belirlenir?</w:t>
      </w:r>
    </w:p>
    <w:p w:rsidR="00B865AB" w:rsidRDefault="00B865AB" w:rsidP="00B865AB">
      <w:pPr>
        <w:spacing w:before="100" w:beforeAutospacing="1" w:after="120"/>
        <w:rPr>
          <w:color w:val="000000"/>
        </w:rPr>
      </w:pPr>
      <w:r>
        <w:rPr>
          <w:rFonts w:ascii="Tahoma" w:hAnsi="Tahoma" w:cs="Tahoma"/>
          <w:color w:val="000000"/>
          <w:sz w:val="20"/>
          <w:szCs w:val="20"/>
        </w:rPr>
        <w:t>Asgari Ücret Tespit Komisyonu, asgari ücretin belirlenmesinde; Ülkenin içinde bulunduğu sosyal ve ekonomik durumu, Ücretliler geçinme indekslerini, bu indeksler yoksa geçinme indekslerini, Fiilen ödenmekte olan ücretlerin genel durumunu ve geçim şartlarını göz önünde bulundurmaktadır.</w:t>
      </w:r>
    </w:p>
    <w:p w:rsidR="00B865AB" w:rsidRDefault="00B865AB" w:rsidP="00B865AB">
      <w:pPr>
        <w:spacing w:before="100" w:beforeAutospacing="1" w:after="120"/>
        <w:rPr>
          <w:color w:val="000000"/>
        </w:rPr>
      </w:pPr>
      <w:r>
        <w:rPr>
          <w:rFonts w:ascii="Tahoma" w:hAnsi="Tahoma" w:cs="Tahoma"/>
          <w:b/>
          <w:bCs/>
          <w:color w:val="000000"/>
          <w:sz w:val="20"/>
          <w:szCs w:val="20"/>
        </w:rPr>
        <w:t>Asgari Ücretlinin İşverene maliyetinde nasıl bir değişim bekleniyor?</w:t>
      </w:r>
      <w:r>
        <w:rPr>
          <w:color w:val="000000"/>
        </w:rPr>
        <w:t> </w:t>
      </w:r>
    </w:p>
    <w:p w:rsidR="00B865AB" w:rsidRDefault="00B865AB" w:rsidP="00B865AB">
      <w:pPr>
        <w:spacing w:before="100" w:beforeAutospacing="1" w:after="120"/>
        <w:rPr>
          <w:rFonts w:ascii="Tahoma" w:hAnsi="Tahoma" w:cs="Tahoma"/>
          <w:color w:val="000000"/>
          <w:sz w:val="20"/>
          <w:szCs w:val="20"/>
        </w:rPr>
      </w:pPr>
      <w:r>
        <w:rPr>
          <w:rFonts w:ascii="Tahoma" w:hAnsi="Tahoma" w:cs="Tahoma"/>
          <w:color w:val="000000"/>
          <w:sz w:val="20"/>
          <w:szCs w:val="20"/>
        </w:rPr>
        <w:t>2016 Yılı için 193 Sayılı Gelir Vergisi kanunun 103.maddesinde yer alan vergi dilim aralığı ve 5510 Sayılı Sosyal Sigortalar ve Genel Sağlık Sigortası kanunu 82.maddesi gereğince SGK taban ücreti henüz belirlenmediğinden 2015 yılı verileri üzerinden hesaplamalar yapılmış olup işverene maliyet etkisi aşağıdadır;</w:t>
      </w:r>
    </w:p>
    <w:p w:rsidR="00B52570" w:rsidRDefault="00B52570" w:rsidP="00B865AB">
      <w:pPr>
        <w:spacing w:before="100" w:beforeAutospacing="1" w:after="120"/>
        <w:rPr>
          <w:rFonts w:ascii="Tahoma" w:hAnsi="Tahoma" w:cs="Tahoma"/>
          <w:color w:val="000000"/>
          <w:sz w:val="20"/>
          <w:szCs w:val="20"/>
        </w:rPr>
      </w:pPr>
    </w:p>
    <w:p w:rsidR="00B52570" w:rsidRDefault="00B52570" w:rsidP="00B865AB">
      <w:pPr>
        <w:spacing w:before="100" w:beforeAutospacing="1" w:after="120"/>
        <w:rPr>
          <w:rFonts w:ascii="Tahoma" w:hAnsi="Tahoma" w:cs="Tahoma"/>
          <w:color w:val="000000"/>
          <w:sz w:val="20"/>
          <w:szCs w:val="20"/>
        </w:rPr>
      </w:pPr>
    </w:p>
    <w:p w:rsidR="00B52570" w:rsidRDefault="00B52570" w:rsidP="00B865AB">
      <w:pPr>
        <w:spacing w:before="100" w:beforeAutospacing="1" w:after="120"/>
        <w:rPr>
          <w:rFonts w:ascii="Tahoma" w:hAnsi="Tahoma" w:cs="Tahoma"/>
          <w:color w:val="000000"/>
          <w:sz w:val="20"/>
          <w:szCs w:val="20"/>
        </w:rPr>
      </w:pPr>
    </w:p>
    <w:p w:rsidR="00B52570" w:rsidRDefault="00B52570" w:rsidP="00B865AB">
      <w:pPr>
        <w:spacing w:before="100" w:beforeAutospacing="1" w:after="120"/>
        <w:rPr>
          <w:color w:val="000000"/>
        </w:rPr>
      </w:pPr>
      <w:bookmarkStart w:id="0" w:name="_GoBack"/>
      <w:bookmarkEnd w:id="0"/>
    </w:p>
    <w:tbl>
      <w:tblPr>
        <w:tblW w:w="9040" w:type="dxa"/>
        <w:tblInd w:w="55" w:type="dxa"/>
        <w:tblCellMar>
          <w:left w:w="0" w:type="dxa"/>
          <w:right w:w="0" w:type="dxa"/>
        </w:tblCellMar>
        <w:tblLook w:val="04A0" w:firstRow="1" w:lastRow="0" w:firstColumn="1" w:lastColumn="0" w:noHBand="0" w:noVBand="1"/>
      </w:tblPr>
      <w:tblGrid>
        <w:gridCol w:w="2900"/>
        <w:gridCol w:w="1040"/>
        <w:gridCol w:w="1660"/>
        <w:gridCol w:w="1200"/>
        <w:gridCol w:w="1140"/>
        <w:gridCol w:w="155"/>
        <w:gridCol w:w="1031"/>
      </w:tblGrid>
      <w:tr w:rsidR="00B865AB" w:rsidTr="00B865AB">
        <w:trPr>
          <w:trHeight w:val="510"/>
        </w:trPr>
        <w:tc>
          <w:tcPr>
            <w:tcW w:w="9040" w:type="dxa"/>
            <w:gridSpan w:val="7"/>
            <w:tcBorders>
              <w:top w:val="single" w:sz="8" w:space="0" w:color="auto"/>
              <w:left w:val="single" w:sz="8" w:space="0" w:color="auto"/>
              <w:bottom w:val="nil"/>
              <w:right w:val="single" w:sz="8" w:space="0" w:color="000000"/>
            </w:tcBorders>
            <w:tcMar>
              <w:top w:w="0" w:type="dxa"/>
              <w:left w:w="70" w:type="dxa"/>
              <w:bottom w:w="0" w:type="dxa"/>
              <w:right w:w="70" w:type="dxa"/>
            </w:tcMar>
            <w:vAlign w:val="center"/>
            <w:hideMark/>
          </w:tcPr>
          <w:p w:rsidR="00B865AB" w:rsidRDefault="00B865AB">
            <w:pPr>
              <w:jc w:val="center"/>
              <w:rPr>
                <w:sz w:val="24"/>
                <w:szCs w:val="24"/>
              </w:rPr>
            </w:pPr>
            <w:r>
              <w:rPr>
                <w:b/>
                <w:bCs/>
              </w:rPr>
              <w:lastRenderedPageBreak/>
              <w:t>Asgari Ücretlinin 2015 Yılı Aylık ve 1 Yıllık Toplam Maliyeti</w:t>
            </w:r>
            <w:r>
              <w:rPr>
                <w:b/>
                <w:bCs/>
              </w:rPr>
              <w:br/>
              <w:t>( 5510 Saylı Kanun % 5 indirimli Hesaplama)</w:t>
            </w:r>
          </w:p>
        </w:tc>
      </w:tr>
      <w:tr w:rsidR="00B865AB" w:rsidTr="00B865AB">
        <w:trPr>
          <w:trHeight w:val="630"/>
        </w:trPr>
        <w:tc>
          <w:tcPr>
            <w:tcW w:w="2900" w:type="dxa"/>
            <w:tcBorders>
              <w:top w:val="single" w:sz="8" w:space="0" w:color="auto"/>
              <w:left w:val="single" w:sz="8" w:space="0" w:color="auto"/>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Açıklama</w:t>
            </w:r>
          </w:p>
        </w:tc>
        <w:tc>
          <w:tcPr>
            <w:tcW w:w="104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Brüt Ücret</w:t>
            </w:r>
          </w:p>
        </w:tc>
        <w:tc>
          <w:tcPr>
            <w:tcW w:w="166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İşveren Hisseleri Toplamı</w:t>
            </w:r>
          </w:p>
        </w:tc>
        <w:tc>
          <w:tcPr>
            <w:tcW w:w="120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Toplam Maliyet</w:t>
            </w:r>
          </w:p>
        </w:tc>
        <w:tc>
          <w:tcPr>
            <w:tcW w:w="114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Net Ücret</w:t>
            </w:r>
          </w:p>
        </w:tc>
        <w:tc>
          <w:tcPr>
            <w:tcW w:w="1100" w:type="dxa"/>
            <w:gridSpan w:val="2"/>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Net Ücret </w:t>
            </w:r>
            <w:r>
              <w:rPr>
                <w:color w:val="FFFFFF"/>
              </w:rPr>
              <w:br/>
              <w:t xml:space="preserve">( </w:t>
            </w:r>
            <w:proofErr w:type="spellStart"/>
            <w:r>
              <w:rPr>
                <w:color w:val="FFFFFF"/>
              </w:rPr>
              <w:t>Agi</w:t>
            </w:r>
            <w:proofErr w:type="spellEnd"/>
            <w:r>
              <w:rPr>
                <w:color w:val="FFFFFF"/>
              </w:rPr>
              <w:t xml:space="preserve"> </w:t>
            </w:r>
            <w:proofErr w:type="gramStart"/>
            <w:r>
              <w:rPr>
                <w:color w:val="FFFFFF"/>
              </w:rPr>
              <w:t>Dahil</w:t>
            </w:r>
            <w:proofErr w:type="gramEnd"/>
            <w:r>
              <w:rPr>
                <w:color w:val="FFFFFF"/>
              </w:rPr>
              <w:t>)</w:t>
            </w:r>
          </w:p>
        </w:tc>
      </w:tr>
      <w:tr w:rsidR="00B865AB" w:rsidTr="00B865AB">
        <w:trPr>
          <w:trHeight w:val="300"/>
        </w:trPr>
        <w:tc>
          <w:tcPr>
            <w:tcW w:w="2900" w:type="dxa"/>
            <w:tcBorders>
              <w:top w:val="nil"/>
              <w:left w:val="single" w:sz="8" w:space="0" w:color="auto"/>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Aylık Ortalama</w:t>
            </w:r>
          </w:p>
        </w:tc>
        <w:tc>
          <w:tcPr>
            <w:tcW w:w="104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1.237,50</w:t>
            </w:r>
          </w:p>
        </w:tc>
        <w:tc>
          <w:tcPr>
            <w:tcW w:w="166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216,56</w:t>
            </w:r>
          </w:p>
        </w:tc>
        <w:tc>
          <w:tcPr>
            <w:tcW w:w="120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1.454,06</w:t>
            </w:r>
          </w:p>
        </w:tc>
        <w:tc>
          <w:tcPr>
            <w:tcW w:w="114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882,11</w:t>
            </w:r>
          </w:p>
        </w:tc>
        <w:tc>
          <w:tcPr>
            <w:tcW w:w="1100" w:type="dxa"/>
            <w:gridSpan w:val="2"/>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972,22</w:t>
            </w:r>
          </w:p>
        </w:tc>
      </w:tr>
      <w:tr w:rsidR="00B865AB" w:rsidTr="00B865AB">
        <w:trPr>
          <w:trHeight w:val="70"/>
        </w:trPr>
        <w:tc>
          <w:tcPr>
            <w:tcW w:w="2900" w:type="dxa"/>
            <w:tcBorders>
              <w:top w:val="nil"/>
              <w:left w:val="single" w:sz="8" w:space="0" w:color="auto"/>
              <w:bottom w:val="nil"/>
              <w:right w:val="nil"/>
            </w:tcBorders>
            <w:noWrap/>
            <w:tcMar>
              <w:top w:w="0" w:type="dxa"/>
              <w:left w:w="70" w:type="dxa"/>
              <w:bottom w:w="0" w:type="dxa"/>
              <w:right w:w="70" w:type="dxa"/>
            </w:tcMar>
            <w:vAlign w:val="center"/>
            <w:hideMark/>
          </w:tcPr>
          <w:p w:rsidR="00B865AB" w:rsidRDefault="00B865AB">
            <w:pPr>
              <w:spacing w:line="70" w:lineRule="atLeast"/>
              <w:jc w:val="center"/>
              <w:rPr>
                <w:sz w:val="24"/>
                <w:szCs w:val="24"/>
              </w:rPr>
            </w:pPr>
            <w:r>
              <w:t> </w:t>
            </w:r>
          </w:p>
        </w:tc>
        <w:tc>
          <w:tcPr>
            <w:tcW w:w="1040" w:type="dxa"/>
            <w:noWrap/>
            <w:tcMar>
              <w:top w:w="0" w:type="dxa"/>
              <w:left w:w="70" w:type="dxa"/>
              <w:bottom w:w="0" w:type="dxa"/>
              <w:right w:w="70" w:type="dxa"/>
            </w:tcMar>
            <w:vAlign w:val="center"/>
            <w:hideMark/>
          </w:tcPr>
          <w:p w:rsidR="00B865AB" w:rsidRDefault="00B865AB">
            <w:pPr>
              <w:spacing w:line="70" w:lineRule="atLeast"/>
              <w:jc w:val="center"/>
              <w:rPr>
                <w:sz w:val="24"/>
                <w:szCs w:val="24"/>
              </w:rPr>
            </w:pPr>
            <w:r>
              <w:t> </w:t>
            </w:r>
          </w:p>
        </w:tc>
        <w:tc>
          <w:tcPr>
            <w:tcW w:w="1660" w:type="dxa"/>
            <w:noWrap/>
            <w:tcMar>
              <w:top w:w="0" w:type="dxa"/>
              <w:left w:w="70" w:type="dxa"/>
              <w:bottom w:w="0" w:type="dxa"/>
              <w:right w:w="70" w:type="dxa"/>
            </w:tcMar>
            <w:vAlign w:val="center"/>
            <w:hideMark/>
          </w:tcPr>
          <w:p w:rsidR="00B865AB" w:rsidRDefault="00B865AB">
            <w:pPr>
              <w:spacing w:line="70" w:lineRule="atLeast"/>
              <w:jc w:val="center"/>
              <w:rPr>
                <w:sz w:val="24"/>
                <w:szCs w:val="24"/>
              </w:rPr>
            </w:pPr>
            <w:r>
              <w:t> </w:t>
            </w:r>
          </w:p>
        </w:tc>
        <w:tc>
          <w:tcPr>
            <w:tcW w:w="1200" w:type="dxa"/>
            <w:shd w:val="clear" w:color="auto" w:fill="C5D9F1"/>
            <w:noWrap/>
            <w:tcMar>
              <w:top w:w="0" w:type="dxa"/>
              <w:left w:w="70" w:type="dxa"/>
              <w:bottom w:w="0" w:type="dxa"/>
              <w:right w:w="70" w:type="dxa"/>
            </w:tcMar>
            <w:vAlign w:val="center"/>
            <w:hideMark/>
          </w:tcPr>
          <w:p w:rsidR="00B865AB" w:rsidRDefault="00B865AB">
            <w:pPr>
              <w:spacing w:line="70" w:lineRule="atLeast"/>
              <w:jc w:val="center"/>
              <w:rPr>
                <w:sz w:val="24"/>
                <w:szCs w:val="24"/>
              </w:rPr>
            </w:pPr>
            <w:r>
              <w:t> </w:t>
            </w:r>
          </w:p>
        </w:tc>
        <w:tc>
          <w:tcPr>
            <w:tcW w:w="1140" w:type="dxa"/>
            <w:noWrap/>
            <w:tcMar>
              <w:top w:w="0" w:type="dxa"/>
              <w:left w:w="70" w:type="dxa"/>
              <w:bottom w:w="0" w:type="dxa"/>
              <w:right w:w="70" w:type="dxa"/>
            </w:tcMar>
            <w:vAlign w:val="center"/>
            <w:hideMark/>
          </w:tcPr>
          <w:p w:rsidR="00B865AB" w:rsidRDefault="00B865AB">
            <w:pPr>
              <w:spacing w:line="70" w:lineRule="atLeast"/>
              <w:jc w:val="center"/>
              <w:rPr>
                <w:sz w:val="24"/>
                <w:szCs w:val="24"/>
              </w:rPr>
            </w:pPr>
            <w:r>
              <w:t> </w:t>
            </w:r>
          </w:p>
        </w:tc>
        <w:tc>
          <w:tcPr>
            <w:tcW w:w="1100" w:type="dxa"/>
            <w:gridSpan w:val="2"/>
            <w:tcBorders>
              <w:top w:val="nil"/>
              <w:left w:val="nil"/>
              <w:bottom w:val="nil"/>
              <w:right w:val="single" w:sz="8" w:space="0" w:color="auto"/>
            </w:tcBorders>
            <w:noWrap/>
            <w:tcMar>
              <w:top w:w="0" w:type="dxa"/>
              <w:left w:w="70" w:type="dxa"/>
              <w:bottom w:w="0" w:type="dxa"/>
              <w:right w:w="70" w:type="dxa"/>
            </w:tcMar>
            <w:vAlign w:val="center"/>
            <w:hideMark/>
          </w:tcPr>
          <w:p w:rsidR="00B865AB" w:rsidRDefault="00B865AB">
            <w:pPr>
              <w:spacing w:line="70" w:lineRule="atLeast"/>
              <w:jc w:val="center"/>
              <w:rPr>
                <w:sz w:val="24"/>
                <w:szCs w:val="24"/>
              </w:rPr>
            </w:pPr>
            <w:r>
              <w:t> </w:t>
            </w:r>
          </w:p>
        </w:tc>
      </w:tr>
      <w:tr w:rsidR="00B865AB" w:rsidTr="00B865AB">
        <w:trPr>
          <w:trHeight w:val="300"/>
        </w:trPr>
        <w:tc>
          <w:tcPr>
            <w:tcW w:w="2900" w:type="dxa"/>
            <w:tcBorders>
              <w:top w:val="single" w:sz="8" w:space="0" w:color="auto"/>
              <w:left w:val="single" w:sz="8" w:space="0" w:color="auto"/>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Yıllık</w:t>
            </w:r>
          </w:p>
        </w:tc>
        <w:tc>
          <w:tcPr>
            <w:tcW w:w="1040" w:type="dxa"/>
            <w:tcBorders>
              <w:top w:val="single" w:sz="8" w:space="0" w:color="auto"/>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14.850,00</w:t>
            </w:r>
          </w:p>
        </w:tc>
        <w:tc>
          <w:tcPr>
            <w:tcW w:w="1660" w:type="dxa"/>
            <w:tcBorders>
              <w:top w:val="single" w:sz="8" w:space="0" w:color="auto"/>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2.598,72</w:t>
            </w:r>
          </w:p>
        </w:tc>
        <w:tc>
          <w:tcPr>
            <w:tcW w:w="1200" w:type="dxa"/>
            <w:tcBorders>
              <w:top w:val="single" w:sz="8" w:space="0" w:color="auto"/>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17.448,72</w:t>
            </w:r>
          </w:p>
        </w:tc>
        <w:tc>
          <w:tcPr>
            <w:tcW w:w="1140" w:type="dxa"/>
            <w:tcBorders>
              <w:top w:val="single" w:sz="8" w:space="0" w:color="auto"/>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10.585,27</w:t>
            </w:r>
          </w:p>
        </w:tc>
        <w:tc>
          <w:tcPr>
            <w:tcW w:w="1100" w:type="dxa"/>
            <w:gridSpan w:val="2"/>
            <w:tcBorders>
              <w:top w:val="single" w:sz="8" w:space="0" w:color="auto"/>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11.666,59</w:t>
            </w:r>
          </w:p>
        </w:tc>
      </w:tr>
      <w:tr w:rsidR="00B865AB" w:rsidTr="00B865AB">
        <w:trPr>
          <w:trHeight w:val="180"/>
        </w:trPr>
        <w:tc>
          <w:tcPr>
            <w:tcW w:w="2900" w:type="dxa"/>
            <w:noWrap/>
            <w:tcMar>
              <w:top w:w="0" w:type="dxa"/>
              <w:left w:w="70" w:type="dxa"/>
              <w:bottom w:w="0" w:type="dxa"/>
              <w:right w:w="70" w:type="dxa"/>
            </w:tcMar>
            <w:vAlign w:val="center"/>
            <w:hideMark/>
          </w:tcPr>
          <w:p w:rsidR="00B865AB" w:rsidRDefault="00B865AB">
            <w:pPr>
              <w:spacing w:line="180" w:lineRule="atLeast"/>
              <w:jc w:val="center"/>
              <w:rPr>
                <w:sz w:val="24"/>
                <w:szCs w:val="24"/>
              </w:rPr>
            </w:pPr>
            <w:r>
              <w:t> </w:t>
            </w:r>
          </w:p>
        </w:tc>
        <w:tc>
          <w:tcPr>
            <w:tcW w:w="1040" w:type="dxa"/>
            <w:noWrap/>
            <w:tcMar>
              <w:top w:w="0" w:type="dxa"/>
              <w:left w:w="70" w:type="dxa"/>
              <w:bottom w:w="0" w:type="dxa"/>
              <w:right w:w="70" w:type="dxa"/>
            </w:tcMar>
            <w:vAlign w:val="center"/>
            <w:hideMark/>
          </w:tcPr>
          <w:p w:rsidR="00B865AB" w:rsidRDefault="00B865AB">
            <w:pPr>
              <w:spacing w:line="180" w:lineRule="atLeast"/>
              <w:jc w:val="center"/>
              <w:rPr>
                <w:sz w:val="24"/>
                <w:szCs w:val="24"/>
              </w:rPr>
            </w:pPr>
            <w:r>
              <w:t> </w:t>
            </w:r>
          </w:p>
        </w:tc>
        <w:tc>
          <w:tcPr>
            <w:tcW w:w="1660" w:type="dxa"/>
            <w:noWrap/>
            <w:tcMar>
              <w:top w:w="0" w:type="dxa"/>
              <w:left w:w="70" w:type="dxa"/>
              <w:bottom w:w="0" w:type="dxa"/>
              <w:right w:w="70" w:type="dxa"/>
            </w:tcMar>
            <w:vAlign w:val="center"/>
            <w:hideMark/>
          </w:tcPr>
          <w:p w:rsidR="00B865AB" w:rsidRDefault="00B865AB">
            <w:pPr>
              <w:spacing w:line="180" w:lineRule="atLeast"/>
              <w:jc w:val="center"/>
              <w:rPr>
                <w:sz w:val="24"/>
                <w:szCs w:val="24"/>
              </w:rPr>
            </w:pPr>
            <w:r>
              <w:t> </w:t>
            </w:r>
          </w:p>
        </w:tc>
        <w:tc>
          <w:tcPr>
            <w:tcW w:w="1200" w:type="dxa"/>
            <w:noWrap/>
            <w:tcMar>
              <w:top w:w="0" w:type="dxa"/>
              <w:left w:w="70" w:type="dxa"/>
              <w:bottom w:w="0" w:type="dxa"/>
              <w:right w:w="70" w:type="dxa"/>
            </w:tcMar>
            <w:vAlign w:val="center"/>
            <w:hideMark/>
          </w:tcPr>
          <w:p w:rsidR="00B865AB" w:rsidRDefault="00B865AB">
            <w:pPr>
              <w:spacing w:line="180" w:lineRule="atLeast"/>
              <w:jc w:val="center"/>
              <w:rPr>
                <w:sz w:val="24"/>
                <w:szCs w:val="24"/>
              </w:rPr>
            </w:pPr>
            <w:r>
              <w:t> </w:t>
            </w:r>
          </w:p>
        </w:tc>
        <w:tc>
          <w:tcPr>
            <w:tcW w:w="1140" w:type="dxa"/>
            <w:noWrap/>
            <w:tcMar>
              <w:top w:w="0" w:type="dxa"/>
              <w:left w:w="70" w:type="dxa"/>
              <w:bottom w:w="0" w:type="dxa"/>
              <w:right w:w="70" w:type="dxa"/>
            </w:tcMar>
            <w:vAlign w:val="center"/>
            <w:hideMark/>
          </w:tcPr>
          <w:p w:rsidR="00B865AB" w:rsidRDefault="00B865AB">
            <w:pPr>
              <w:spacing w:line="180" w:lineRule="atLeast"/>
              <w:jc w:val="center"/>
              <w:rPr>
                <w:sz w:val="24"/>
                <w:szCs w:val="24"/>
              </w:rPr>
            </w:pPr>
            <w:r>
              <w:t> </w:t>
            </w:r>
          </w:p>
        </w:tc>
        <w:tc>
          <w:tcPr>
            <w:tcW w:w="1100" w:type="dxa"/>
            <w:gridSpan w:val="2"/>
            <w:noWrap/>
            <w:tcMar>
              <w:top w:w="0" w:type="dxa"/>
              <w:left w:w="70" w:type="dxa"/>
              <w:bottom w:w="0" w:type="dxa"/>
              <w:right w:w="70" w:type="dxa"/>
            </w:tcMar>
            <w:vAlign w:val="center"/>
            <w:hideMark/>
          </w:tcPr>
          <w:p w:rsidR="00B865AB" w:rsidRDefault="00B865AB">
            <w:pPr>
              <w:spacing w:line="180" w:lineRule="atLeast"/>
              <w:jc w:val="center"/>
              <w:rPr>
                <w:sz w:val="24"/>
                <w:szCs w:val="24"/>
              </w:rPr>
            </w:pPr>
            <w:r>
              <w:t> </w:t>
            </w:r>
          </w:p>
        </w:tc>
      </w:tr>
      <w:tr w:rsidR="00B865AB" w:rsidTr="00B865AB">
        <w:trPr>
          <w:trHeight w:val="495"/>
        </w:trPr>
        <w:tc>
          <w:tcPr>
            <w:tcW w:w="9040" w:type="dxa"/>
            <w:gridSpan w:val="7"/>
            <w:tcBorders>
              <w:top w:val="single" w:sz="8" w:space="0" w:color="auto"/>
              <w:left w:val="single" w:sz="8" w:space="0" w:color="auto"/>
              <w:bottom w:val="nil"/>
              <w:right w:val="single" w:sz="8" w:space="0" w:color="000000"/>
            </w:tcBorders>
            <w:tcMar>
              <w:top w:w="0" w:type="dxa"/>
              <w:left w:w="70" w:type="dxa"/>
              <w:bottom w:w="0" w:type="dxa"/>
              <w:right w:w="70" w:type="dxa"/>
            </w:tcMar>
            <w:vAlign w:val="center"/>
            <w:hideMark/>
          </w:tcPr>
          <w:p w:rsidR="00B865AB" w:rsidRDefault="00B865AB">
            <w:pPr>
              <w:jc w:val="center"/>
              <w:rPr>
                <w:sz w:val="24"/>
                <w:szCs w:val="24"/>
              </w:rPr>
            </w:pPr>
            <w:r>
              <w:rPr>
                <w:b/>
                <w:bCs/>
              </w:rPr>
              <w:t>1.300.-TL alan personelin 2015 Yılı Aylık ve  1 Yıllık Toplam Maliyeti</w:t>
            </w:r>
            <w:r>
              <w:rPr>
                <w:b/>
                <w:bCs/>
              </w:rPr>
              <w:br/>
              <w:t>( 5510 Saylı Kanun % 5 indirimli Hesaplama)</w:t>
            </w:r>
          </w:p>
        </w:tc>
      </w:tr>
      <w:tr w:rsidR="00B865AB" w:rsidTr="00B865AB">
        <w:trPr>
          <w:trHeight w:val="585"/>
        </w:trPr>
        <w:tc>
          <w:tcPr>
            <w:tcW w:w="2900" w:type="dxa"/>
            <w:tcBorders>
              <w:top w:val="single" w:sz="8" w:space="0" w:color="auto"/>
              <w:left w:val="single" w:sz="8" w:space="0" w:color="auto"/>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Açıklama</w:t>
            </w:r>
          </w:p>
        </w:tc>
        <w:tc>
          <w:tcPr>
            <w:tcW w:w="104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Brüt Ücret</w:t>
            </w:r>
          </w:p>
        </w:tc>
        <w:tc>
          <w:tcPr>
            <w:tcW w:w="166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İşveren Hisseleri Toplamı</w:t>
            </w:r>
          </w:p>
        </w:tc>
        <w:tc>
          <w:tcPr>
            <w:tcW w:w="1200"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Toplam Maliyet</w:t>
            </w:r>
          </w:p>
        </w:tc>
        <w:tc>
          <w:tcPr>
            <w:tcW w:w="1295" w:type="dxa"/>
            <w:gridSpan w:val="2"/>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Net Ücret</w:t>
            </w:r>
          </w:p>
        </w:tc>
        <w:tc>
          <w:tcPr>
            <w:tcW w:w="945" w:type="dxa"/>
            <w:tcBorders>
              <w:top w:val="single" w:sz="8" w:space="0" w:color="auto"/>
              <w:left w:val="nil"/>
              <w:bottom w:val="single" w:sz="8" w:space="0" w:color="auto"/>
              <w:right w:val="single" w:sz="8" w:space="0" w:color="auto"/>
            </w:tcBorders>
            <w:shd w:val="clear" w:color="auto" w:fill="16365C"/>
            <w:tcMar>
              <w:top w:w="0" w:type="dxa"/>
              <w:left w:w="70" w:type="dxa"/>
              <w:bottom w:w="0" w:type="dxa"/>
              <w:right w:w="70" w:type="dxa"/>
            </w:tcMar>
            <w:vAlign w:val="center"/>
            <w:hideMark/>
          </w:tcPr>
          <w:p w:rsidR="00B865AB" w:rsidRDefault="00B865AB">
            <w:pPr>
              <w:jc w:val="center"/>
              <w:rPr>
                <w:sz w:val="24"/>
                <w:szCs w:val="24"/>
              </w:rPr>
            </w:pPr>
            <w:r>
              <w:rPr>
                <w:color w:val="FFFFFF"/>
              </w:rPr>
              <w:t>Net Ücret </w:t>
            </w:r>
            <w:r>
              <w:rPr>
                <w:color w:val="FFFFFF"/>
              </w:rPr>
              <w:br/>
              <w:t xml:space="preserve">( </w:t>
            </w:r>
            <w:proofErr w:type="spellStart"/>
            <w:r>
              <w:rPr>
                <w:color w:val="FFFFFF"/>
              </w:rPr>
              <w:t>Agi</w:t>
            </w:r>
            <w:proofErr w:type="spellEnd"/>
            <w:r>
              <w:rPr>
                <w:color w:val="FFFFFF"/>
              </w:rPr>
              <w:t xml:space="preserve"> </w:t>
            </w:r>
            <w:proofErr w:type="gramStart"/>
            <w:r>
              <w:rPr>
                <w:color w:val="FFFFFF"/>
              </w:rPr>
              <w:t>Dahil</w:t>
            </w:r>
            <w:proofErr w:type="gramEnd"/>
            <w:r>
              <w:rPr>
                <w:color w:val="FFFFFF"/>
              </w:rPr>
              <w:t>)</w:t>
            </w:r>
          </w:p>
        </w:tc>
      </w:tr>
      <w:tr w:rsidR="00B865AB" w:rsidTr="00B865AB">
        <w:trPr>
          <w:trHeight w:val="300"/>
        </w:trPr>
        <w:tc>
          <w:tcPr>
            <w:tcW w:w="2900" w:type="dxa"/>
            <w:tcBorders>
              <w:top w:val="nil"/>
              <w:left w:val="single" w:sz="8" w:space="0" w:color="auto"/>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Aylık Ortalama</w:t>
            </w:r>
          </w:p>
        </w:tc>
        <w:tc>
          <w:tcPr>
            <w:tcW w:w="104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1.858,98</w:t>
            </w:r>
          </w:p>
        </w:tc>
        <w:tc>
          <w:tcPr>
            <w:tcW w:w="166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325,32</w:t>
            </w:r>
          </w:p>
        </w:tc>
        <w:tc>
          <w:tcPr>
            <w:tcW w:w="120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2.184,31</w:t>
            </w:r>
          </w:p>
        </w:tc>
        <w:tc>
          <w:tcPr>
            <w:tcW w:w="1295" w:type="dxa"/>
            <w:gridSpan w:val="2"/>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1.300,00</w:t>
            </w:r>
          </w:p>
        </w:tc>
        <w:tc>
          <w:tcPr>
            <w:tcW w:w="945"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1.390,11</w:t>
            </w:r>
          </w:p>
        </w:tc>
      </w:tr>
      <w:tr w:rsidR="00B865AB" w:rsidTr="00B865AB">
        <w:trPr>
          <w:trHeight w:val="60"/>
        </w:trPr>
        <w:tc>
          <w:tcPr>
            <w:tcW w:w="2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20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9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r>
      <w:tr w:rsidR="00B865AB" w:rsidTr="00B865AB">
        <w:trPr>
          <w:trHeight w:val="300"/>
        </w:trPr>
        <w:tc>
          <w:tcPr>
            <w:tcW w:w="2900" w:type="dxa"/>
            <w:tcBorders>
              <w:top w:val="nil"/>
              <w:left w:val="single" w:sz="8" w:space="0" w:color="auto"/>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Yıllık</w:t>
            </w:r>
          </w:p>
        </w:tc>
        <w:tc>
          <w:tcPr>
            <w:tcW w:w="104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22.307,80</w:t>
            </w:r>
          </w:p>
        </w:tc>
        <w:tc>
          <w:tcPr>
            <w:tcW w:w="166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3.903,87</w:t>
            </w:r>
          </w:p>
        </w:tc>
        <w:tc>
          <w:tcPr>
            <w:tcW w:w="1200"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26.211,67</w:t>
            </w:r>
          </w:p>
        </w:tc>
        <w:tc>
          <w:tcPr>
            <w:tcW w:w="1295" w:type="dxa"/>
            <w:gridSpan w:val="2"/>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15.600,00</w:t>
            </w:r>
          </w:p>
        </w:tc>
        <w:tc>
          <w:tcPr>
            <w:tcW w:w="945" w:type="dxa"/>
            <w:tcBorders>
              <w:top w:val="nil"/>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B865AB" w:rsidRDefault="00B865AB">
            <w:pPr>
              <w:jc w:val="center"/>
              <w:rPr>
                <w:sz w:val="24"/>
                <w:szCs w:val="24"/>
              </w:rPr>
            </w:pPr>
            <w:r>
              <w:t>16.681,32</w:t>
            </w:r>
          </w:p>
        </w:tc>
      </w:tr>
      <w:tr w:rsidR="00B865AB" w:rsidTr="00B865AB">
        <w:trPr>
          <w:trHeight w:val="75"/>
        </w:trPr>
        <w:tc>
          <w:tcPr>
            <w:tcW w:w="2900" w:type="dxa"/>
            <w:noWrap/>
            <w:tcMar>
              <w:top w:w="0" w:type="dxa"/>
              <w:left w:w="70" w:type="dxa"/>
              <w:bottom w:w="0" w:type="dxa"/>
              <w:right w:w="70" w:type="dxa"/>
            </w:tcMar>
            <w:vAlign w:val="center"/>
            <w:hideMark/>
          </w:tcPr>
          <w:p w:rsidR="00B865AB" w:rsidRDefault="00B865AB">
            <w:pPr>
              <w:spacing w:line="75" w:lineRule="atLeast"/>
              <w:jc w:val="center"/>
              <w:rPr>
                <w:sz w:val="24"/>
                <w:szCs w:val="24"/>
              </w:rPr>
            </w:pPr>
            <w:r>
              <w:t> </w:t>
            </w:r>
          </w:p>
        </w:tc>
        <w:tc>
          <w:tcPr>
            <w:tcW w:w="1040" w:type="dxa"/>
            <w:noWrap/>
            <w:tcMar>
              <w:top w:w="0" w:type="dxa"/>
              <w:left w:w="70" w:type="dxa"/>
              <w:bottom w:w="0" w:type="dxa"/>
              <w:right w:w="70" w:type="dxa"/>
            </w:tcMar>
            <w:vAlign w:val="center"/>
            <w:hideMark/>
          </w:tcPr>
          <w:p w:rsidR="00B865AB" w:rsidRDefault="00B865AB">
            <w:pPr>
              <w:spacing w:line="75" w:lineRule="atLeast"/>
              <w:jc w:val="center"/>
              <w:rPr>
                <w:sz w:val="24"/>
                <w:szCs w:val="24"/>
              </w:rPr>
            </w:pPr>
            <w:r>
              <w:t> </w:t>
            </w:r>
          </w:p>
        </w:tc>
        <w:tc>
          <w:tcPr>
            <w:tcW w:w="1660" w:type="dxa"/>
            <w:noWrap/>
            <w:tcMar>
              <w:top w:w="0" w:type="dxa"/>
              <w:left w:w="70" w:type="dxa"/>
              <w:bottom w:w="0" w:type="dxa"/>
              <w:right w:w="70" w:type="dxa"/>
            </w:tcMar>
            <w:vAlign w:val="center"/>
            <w:hideMark/>
          </w:tcPr>
          <w:p w:rsidR="00B865AB" w:rsidRDefault="00B865AB">
            <w:pPr>
              <w:spacing w:line="75" w:lineRule="atLeast"/>
              <w:jc w:val="center"/>
              <w:rPr>
                <w:sz w:val="24"/>
                <w:szCs w:val="24"/>
              </w:rPr>
            </w:pPr>
            <w:r>
              <w:t> </w:t>
            </w:r>
          </w:p>
        </w:tc>
        <w:tc>
          <w:tcPr>
            <w:tcW w:w="1200" w:type="dxa"/>
            <w:noWrap/>
            <w:tcMar>
              <w:top w:w="0" w:type="dxa"/>
              <w:left w:w="70" w:type="dxa"/>
              <w:bottom w:w="0" w:type="dxa"/>
              <w:right w:w="70" w:type="dxa"/>
            </w:tcMar>
            <w:vAlign w:val="center"/>
            <w:hideMark/>
          </w:tcPr>
          <w:p w:rsidR="00B865AB" w:rsidRDefault="00B865AB">
            <w:pPr>
              <w:spacing w:line="75" w:lineRule="atLeast"/>
              <w:jc w:val="center"/>
              <w:rPr>
                <w:sz w:val="24"/>
                <w:szCs w:val="24"/>
              </w:rPr>
            </w:pPr>
            <w:r>
              <w:t> </w:t>
            </w:r>
          </w:p>
        </w:tc>
        <w:tc>
          <w:tcPr>
            <w:tcW w:w="1295" w:type="dxa"/>
            <w:gridSpan w:val="2"/>
            <w:noWrap/>
            <w:tcMar>
              <w:top w:w="0" w:type="dxa"/>
              <w:left w:w="70" w:type="dxa"/>
              <w:bottom w:w="0" w:type="dxa"/>
              <w:right w:w="70" w:type="dxa"/>
            </w:tcMar>
            <w:vAlign w:val="center"/>
            <w:hideMark/>
          </w:tcPr>
          <w:p w:rsidR="00B865AB" w:rsidRDefault="00B865AB">
            <w:pPr>
              <w:spacing w:line="75" w:lineRule="atLeast"/>
              <w:jc w:val="center"/>
              <w:rPr>
                <w:sz w:val="24"/>
                <w:szCs w:val="24"/>
              </w:rPr>
            </w:pPr>
            <w:r>
              <w:t> </w:t>
            </w:r>
          </w:p>
        </w:tc>
        <w:tc>
          <w:tcPr>
            <w:tcW w:w="945" w:type="dxa"/>
            <w:noWrap/>
            <w:tcMar>
              <w:top w:w="0" w:type="dxa"/>
              <w:left w:w="70" w:type="dxa"/>
              <w:bottom w:w="0" w:type="dxa"/>
              <w:right w:w="70" w:type="dxa"/>
            </w:tcMar>
            <w:vAlign w:val="center"/>
            <w:hideMark/>
          </w:tcPr>
          <w:p w:rsidR="00B865AB" w:rsidRDefault="00B865AB">
            <w:pPr>
              <w:spacing w:line="75" w:lineRule="atLeast"/>
              <w:jc w:val="center"/>
              <w:rPr>
                <w:sz w:val="24"/>
                <w:szCs w:val="24"/>
              </w:rPr>
            </w:pPr>
            <w:r>
              <w:t> </w:t>
            </w:r>
          </w:p>
        </w:tc>
      </w:tr>
      <w:tr w:rsidR="00B865AB" w:rsidTr="00B865AB">
        <w:trPr>
          <w:trHeight w:val="300"/>
        </w:trPr>
        <w:tc>
          <w:tcPr>
            <w:tcW w:w="5600" w:type="dxa"/>
            <w:gridSpan w:val="3"/>
            <w:tcBorders>
              <w:top w:val="single" w:sz="8" w:space="0" w:color="auto"/>
              <w:left w:val="single" w:sz="8" w:space="0" w:color="auto"/>
              <w:bottom w:val="nil"/>
              <w:right w:val="nil"/>
            </w:tcBorders>
            <w:noWrap/>
            <w:tcMar>
              <w:top w:w="0" w:type="dxa"/>
              <w:left w:w="70" w:type="dxa"/>
              <w:bottom w:w="0" w:type="dxa"/>
              <w:right w:w="70" w:type="dxa"/>
            </w:tcMar>
            <w:vAlign w:val="center"/>
            <w:hideMark/>
          </w:tcPr>
          <w:p w:rsidR="00B865AB" w:rsidRDefault="00B865AB">
            <w:pPr>
              <w:jc w:val="center"/>
              <w:rPr>
                <w:sz w:val="24"/>
                <w:szCs w:val="24"/>
              </w:rPr>
            </w:pPr>
            <w:proofErr w:type="gramStart"/>
            <w:r>
              <w:rPr>
                <w:b/>
                <w:bCs/>
              </w:rPr>
              <w:t>SONUÇ ; 2015</w:t>
            </w:r>
            <w:proofErr w:type="gramEnd"/>
            <w:r>
              <w:rPr>
                <w:b/>
                <w:bCs/>
              </w:rPr>
              <w:t xml:space="preserve"> Yılı Parametreleri dikkate alındığında ;</w:t>
            </w:r>
          </w:p>
        </w:tc>
        <w:tc>
          <w:tcPr>
            <w:tcW w:w="1200" w:type="dxa"/>
            <w:tcBorders>
              <w:top w:val="single" w:sz="8" w:space="0" w:color="auto"/>
              <w:left w:val="nil"/>
              <w:bottom w:val="nil"/>
              <w:right w:val="nil"/>
            </w:tcBorders>
            <w:noWrap/>
            <w:tcMar>
              <w:top w:w="0" w:type="dxa"/>
              <w:left w:w="70" w:type="dxa"/>
              <w:bottom w:w="0" w:type="dxa"/>
              <w:right w:w="70" w:type="dxa"/>
            </w:tcMar>
            <w:vAlign w:val="center"/>
            <w:hideMark/>
          </w:tcPr>
          <w:p w:rsidR="00B865AB" w:rsidRDefault="00B865AB">
            <w:pPr>
              <w:jc w:val="center"/>
              <w:rPr>
                <w:sz w:val="24"/>
                <w:szCs w:val="24"/>
              </w:rPr>
            </w:pPr>
            <w:r>
              <w:t> </w:t>
            </w:r>
          </w:p>
        </w:tc>
        <w:tc>
          <w:tcPr>
            <w:tcW w:w="1295" w:type="dxa"/>
            <w:gridSpan w:val="2"/>
            <w:tcBorders>
              <w:top w:val="single" w:sz="8" w:space="0" w:color="auto"/>
              <w:left w:val="nil"/>
              <w:bottom w:val="nil"/>
              <w:right w:val="nil"/>
            </w:tcBorders>
            <w:noWrap/>
            <w:tcMar>
              <w:top w:w="0" w:type="dxa"/>
              <w:left w:w="70" w:type="dxa"/>
              <w:bottom w:w="0" w:type="dxa"/>
              <w:right w:w="70" w:type="dxa"/>
            </w:tcMar>
            <w:vAlign w:val="center"/>
            <w:hideMark/>
          </w:tcPr>
          <w:p w:rsidR="00B865AB" w:rsidRDefault="00B865AB">
            <w:pPr>
              <w:jc w:val="center"/>
              <w:rPr>
                <w:sz w:val="24"/>
                <w:szCs w:val="24"/>
              </w:rPr>
            </w:pPr>
            <w:r>
              <w:t> </w:t>
            </w:r>
          </w:p>
        </w:tc>
        <w:tc>
          <w:tcPr>
            <w:tcW w:w="945"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B865AB" w:rsidRDefault="00B865AB">
            <w:pPr>
              <w:jc w:val="center"/>
              <w:rPr>
                <w:sz w:val="24"/>
                <w:szCs w:val="24"/>
              </w:rPr>
            </w:pPr>
            <w:r>
              <w:t> </w:t>
            </w:r>
          </w:p>
        </w:tc>
      </w:tr>
      <w:tr w:rsidR="00B865AB" w:rsidTr="00B865AB">
        <w:trPr>
          <w:trHeight w:val="60"/>
        </w:trPr>
        <w:tc>
          <w:tcPr>
            <w:tcW w:w="2900" w:type="dxa"/>
            <w:tcBorders>
              <w:top w:val="nil"/>
              <w:left w:val="single" w:sz="8" w:space="0" w:color="auto"/>
              <w:bottom w:val="nil"/>
              <w:right w:val="nil"/>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040" w:type="dxa"/>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660" w:type="dxa"/>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200" w:type="dxa"/>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1295" w:type="dxa"/>
            <w:gridSpan w:val="2"/>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c>
          <w:tcPr>
            <w:tcW w:w="945" w:type="dxa"/>
            <w:tcBorders>
              <w:top w:val="nil"/>
              <w:left w:val="nil"/>
              <w:bottom w:val="nil"/>
              <w:right w:val="single" w:sz="8" w:space="0" w:color="auto"/>
            </w:tcBorders>
            <w:noWrap/>
            <w:tcMar>
              <w:top w:w="0" w:type="dxa"/>
              <w:left w:w="70" w:type="dxa"/>
              <w:bottom w:w="0" w:type="dxa"/>
              <w:right w:w="70" w:type="dxa"/>
            </w:tcMar>
            <w:vAlign w:val="center"/>
            <w:hideMark/>
          </w:tcPr>
          <w:p w:rsidR="00B865AB" w:rsidRDefault="00B865AB">
            <w:pPr>
              <w:spacing w:line="60" w:lineRule="atLeast"/>
              <w:jc w:val="center"/>
              <w:rPr>
                <w:sz w:val="24"/>
                <w:szCs w:val="24"/>
              </w:rPr>
            </w:pPr>
            <w:r>
              <w:t> </w:t>
            </w:r>
          </w:p>
        </w:tc>
      </w:tr>
      <w:tr w:rsidR="00B865AB" w:rsidTr="00B865AB">
        <w:trPr>
          <w:trHeight w:val="270"/>
        </w:trPr>
        <w:tc>
          <w:tcPr>
            <w:tcW w:w="3940" w:type="dxa"/>
            <w:gridSpan w:val="2"/>
            <w:tcBorders>
              <w:top w:val="nil"/>
              <w:left w:val="single" w:sz="8" w:space="0" w:color="auto"/>
              <w:bottom w:val="nil"/>
              <w:right w:val="nil"/>
            </w:tcBorders>
            <w:noWrap/>
            <w:tcMar>
              <w:top w:w="0" w:type="dxa"/>
              <w:left w:w="70" w:type="dxa"/>
              <w:bottom w:w="0" w:type="dxa"/>
              <w:right w:w="70" w:type="dxa"/>
            </w:tcMar>
            <w:vAlign w:val="center"/>
            <w:hideMark/>
          </w:tcPr>
          <w:p w:rsidR="00B865AB" w:rsidRDefault="00B865AB">
            <w:pPr>
              <w:jc w:val="center"/>
              <w:rPr>
                <w:sz w:val="24"/>
                <w:szCs w:val="24"/>
              </w:rPr>
            </w:pPr>
            <w:r>
              <w:t>İşverene ilave yansıyacak Aylık Yük</w:t>
            </w:r>
          </w:p>
        </w:tc>
        <w:tc>
          <w:tcPr>
            <w:tcW w:w="1660" w:type="dxa"/>
            <w:noWrap/>
            <w:tcMar>
              <w:top w:w="0" w:type="dxa"/>
              <w:left w:w="70" w:type="dxa"/>
              <w:bottom w:w="0" w:type="dxa"/>
              <w:right w:w="70" w:type="dxa"/>
            </w:tcMar>
            <w:vAlign w:val="center"/>
            <w:hideMark/>
          </w:tcPr>
          <w:p w:rsidR="00B865AB" w:rsidRDefault="00B865AB">
            <w:pPr>
              <w:jc w:val="center"/>
              <w:rPr>
                <w:sz w:val="24"/>
                <w:szCs w:val="24"/>
              </w:rPr>
            </w:pPr>
            <w:r>
              <w:t>730,25</w:t>
            </w:r>
          </w:p>
        </w:tc>
        <w:tc>
          <w:tcPr>
            <w:tcW w:w="2495" w:type="dxa"/>
            <w:gridSpan w:val="3"/>
            <w:noWrap/>
            <w:tcMar>
              <w:top w:w="0" w:type="dxa"/>
              <w:left w:w="70" w:type="dxa"/>
              <w:bottom w:w="0" w:type="dxa"/>
              <w:right w:w="70" w:type="dxa"/>
            </w:tcMar>
            <w:vAlign w:val="center"/>
            <w:hideMark/>
          </w:tcPr>
          <w:p w:rsidR="00B865AB" w:rsidRDefault="00B865AB">
            <w:pPr>
              <w:jc w:val="center"/>
              <w:rPr>
                <w:sz w:val="24"/>
                <w:szCs w:val="24"/>
              </w:rPr>
            </w:pPr>
            <w:r>
              <w:t>TL ( 2.184,31-1.454,06)</w:t>
            </w:r>
          </w:p>
        </w:tc>
        <w:tc>
          <w:tcPr>
            <w:tcW w:w="945" w:type="dxa"/>
            <w:tcBorders>
              <w:top w:val="nil"/>
              <w:left w:val="nil"/>
              <w:bottom w:val="nil"/>
              <w:right w:val="single" w:sz="8" w:space="0" w:color="auto"/>
            </w:tcBorders>
            <w:noWrap/>
            <w:tcMar>
              <w:top w:w="0" w:type="dxa"/>
              <w:left w:w="70" w:type="dxa"/>
              <w:bottom w:w="0" w:type="dxa"/>
              <w:right w:w="70" w:type="dxa"/>
            </w:tcMar>
            <w:vAlign w:val="center"/>
            <w:hideMark/>
          </w:tcPr>
          <w:p w:rsidR="00B865AB" w:rsidRDefault="00B865AB">
            <w:pPr>
              <w:jc w:val="center"/>
              <w:rPr>
                <w:sz w:val="24"/>
                <w:szCs w:val="24"/>
              </w:rPr>
            </w:pPr>
            <w:r>
              <w:t> </w:t>
            </w:r>
          </w:p>
        </w:tc>
      </w:tr>
      <w:tr w:rsidR="00B865AB" w:rsidTr="00B865AB">
        <w:trPr>
          <w:trHeight w:val="270"/>
        </w:trPr>
        <w:tc>
          <w:tcPr>
            <w:tcW w:w="3940" w:type="dxa"/>
            <w:gridSpan w:val="2"/>
            <w:tcBorders>
              <w:top w:val="nil"/>
              <w:left w:val="single" w:sz="8" w:space="0" w:color="auto"/>
              <w:bottom w:val="nil"/>
              <w:right w:val="nil"/>
            </w:tcBorders>
            <w:noWrap/>
            <w:tcMar>
              <w:top w:w="0" w:type="dxa"/>
              <w:left w:w="70" w:type="dxa"/>
              <w:bottom w:w="0" w:type="dxa"/>
              <w:right w:w="70" w:type="dxa"/>
            </w:tcMar>
            <w:vAlign w:val="center"/>
            <w:hideMark/>
          </w:tcPr>
          <w:p w:rsidR="00B865AB" w:rsidRDefault="00B865AB">
            <w:pPr>
              <w:jc w:val="center"/>
              <w:rPr>
                <w:sz w:val="24"/>
                <w:szCs w:val="24"/>
              </w:rPr>
            </w:pPr>
            <w:r>
              <w:t>İşverene ilave yansıyacak Yıllık Yük</w:t>
            </w:r>
          </w:p>
        </w:tc>
        <w:tc>
          <w:tcPr>
            <w:tcW w:w="1660" w:type="dxa"/>
            <w:noWrap/>
            <w:tcMar>
              <w:top w:w="0" w:type="dxa"/>
              <w:left w:w="70" w:type="dxa"/>
              <w:bottom w:w="0" w:type="dxa"/>
              <w:right w:w="70" w:type="dxa"/>
            </w:tcMar>
            <w:vAlign w:val="center"/>
            <w:hideMark/>
          </w:tcPr>
          <w:p w:rsidR="00B865AB" w:rsidRDefault="00B865AB">
            <w:pPr>
              <w:jc w:val="center"/>
              <w:rPr>
                <w:sz w:val="24"/>
                <w:szCs w:val="24"/>
              </w:rPr>
            </w:pPr>
            <w:r>
              <w:t>8.762,95</w:t>
            </w:r>
          </w:p>
        </w:tc>
        <w:tc>
          <w:tcPr>
            <w:tcW w:w="2495" w:type="dxa"/>
            <w:gridSpan w:val="3"/>
            <w:noWrap/>
            <w:tcMar>
              <w:top w:w="0" w:type="dxa"/>
              <w:left w:w="70" w:type="dxa"/>
              <w:bottom w:w="0" w:type="dxa"/>
              <w:right w:w="70" w:type="dxa"/>
            </w:tcMar>
            <w:vAlign w:val="center"/>
            <w:hideMark/>
          </w:tcPr>
          <w:p w:rsidR="00B865AB" w:rsidRDefault="00B865AB">
            <w:pPr>
              <w:jc w:val="center"/>
              <w:rPr>
                <w:sz w:val="24"/>
                <w:szCs w:val="24"/>
              </w:rPr>
            </w:pPr>
            <w:r>
              <w:t>TL (26.211,67-17.448,72)</w:t>
            </w:r>
          </w:p>
        </w:tc>
        <w:tc>
          <w:tcPr>
            <w:tcW w:w="945" w:type="dxa"/>
            <w:tcBorders>
              <w:top w:val="nil"/>
              <w:left w:val="nil"/>
              <w:bottom w:val="nil"/>
              <w:right w:val="single" w:sz="8" w:space="0" w:color="auto"/>
            </w:tcBorders>
            <w:noWrap/>
            <w:tcMar>
              <w:top w:w="0" w:type="dxa"/>
              <w:left w:w="70" w:type="dxa"/>
              <w:bottom w:w="0" w:type="dxa"/>
              <w:right w:w="70" w:type="dxa"/>
            </w:tcMar>
            <w:vAlign w:val="center"/>
            <w:hideMark/>
          </w:tcPr>
          <w:p w:rsidR="00B865AB" w:rsidRDefault="00B865AB">
            <w:pPr>
              <w:jc w:val="center"/>
              <w:rPr>
                <w:sz w:val="24"/>
                <w:szCs w:val="24"/>
              </w:rPr>
            </w:pPr>
            <w:r>
              <w:t> </w:t>
            </w:r>
          </w:p>
        </w:tc>
      </w:tr>
      <w:tr w:rsidR="00B865AB" w:rsidTr="00B865AB">
        <w:trPr>
          <w:trHeight w:val="120"/>
        </w:trPr>
        <w:tc>
          <w:tcPr>
            <w:tcW w:w="2900" w:type="dxa"/>
            <w:tcBorders>
              <w:top w:val="nil"/>
              <w:left w:val="single" w:sz="8" w:space="0" w:color="auto"/>
              <w:bottom w:val="nil"/>
              <w:right w:val="nil"/>
            </w:tcBorders>
            <w:noWrap/>
            <w:tcMar>
              <w:top w:w="0" w:type="dxa"/>
              <w:left w:w="70" w:type="dxa"/>
              <w:bottom w:w="0" w:type="dxa"/>
              <w:right w:w="70" w:type="dxa"/>
            </w:tcMar>
            <w:vAlign w:val="center"/>
            <w:hideMark/>
          </w:tcPr>
          <w:p w:rsidR="00B865AB" w:rsidRDefault="00B865AB">
            <w:pPr>
              <w:spacing w:line="120" w:lineRule="atLeast"/>
              <w:jc w:val="center"/>
              <w:rPr>
                <w:sz w:val="24"/>
                <w:szCs w:val="24"/>
              </w:rPr>
            </w:pPr>
            <w:r>
              <w:t> </w:t>
            </w:r>
          </w:p>
        </w:tc>
        <w:tc>
          <w:tcPr>
            <w:tcW w:w="1040" w:type="dxa"/>
            <w:noWrap/>
            <w:tcMar>
              <w:top w:w="0" w:type="dxa"/>
              <w:left w:w="70" w:type="dxa"/>
              <w:bottom w:w="0" w:type="dxa"/>
              <w:right w:w="70" w:type="dxa"/>
            </w:tcMar>
            <w:vAlign w:val="center"/>
            <w:hideMark/>
          </w:tcPr>
          <w:p w:rsidR="00B865AB" w:rsidRDefault="00B865AB">
            <w:pPr>
              <w:spacing w:line="120" w:lineRule="atLeast"/>
              <w:jc w:val="center"/>
              <w:rPr>
                <w:sz w:val="24"/>
                <w:szCs w:val="24"/>
              </w:rPr>
            </w:pPr>
            <w:r>
              <w:t> </w:t>
            </w:r>
          </w:p>
        </w:tc>
        <w:tc>
          <w:tcPr>
            <w:tcW w:w="1660" w:type="dxa"/>
            <w:noWrap/>
            <w:tcMar>
              <w:top w:w="0" w:type="dxa"/>
              <w:left w:w="70" w:type="dxa"/>
              <w:bottom w:w="0" w:type="dxa"/>
              <w:right w:w="70" w:type="dxa"/>
            </w:tcMar>
            <w:vAlign w:val="center"/>
            <w:hideMark/>
          </w:tcPr>
          <w:p w:rsidR="00B865AB" w:rsidRDefault="00B865AB">
            <w:pPr>
              <w:spacing w:line="120" w:lineRule="atLeast"/>
              <w:jc w:val="center"/>
              <w:rPr>
                <w:sz w:val="24"/>
                <w:szCs w:val="24"/>
              </w:rPr>
            </w:pPr>
            <w:r>
              <w:t> </w:t>
            </w:r>
          </w:p>
        </w:tc>
        <w:tc>
          <w:tcPr>
            <w:tcW w:w="1200" w:type="dxa"/>
            <w:noWrap/>
            <w:tcMar>
              <w:top w:w="0" w:type="dxa"/>
              <w:left w:w="70" w:type="dxa"/>
              <w:bottom w:w="0" w:type="dxa"/>
              <w:right w:w="70" w:type="dxa"/>
            </w:tcMar>
            <w:vAlign w:val="center"/>
            <w:hideMark/>
          </w:tcPr>
          <w:p w:rsidR="00B865AB" w:rsidRDefault="00B865AB">
            <w:pPr>
              <w:spacing w:line="120" w:lineRule="atLeast"/>
              <w:jc w:val="center"/>
              <w:rPr>
                <w:sz w:val="24"/>
                <w:szCs w:val="24"/>
              </w:rPr>
            </w:pPr>
            <w:r>
              <w:t> </w:t>
            </w:r>
          </w:p>
        </w:tc>
        <w:tc>
          <w:tcPr>
            <w:tcW w:w="1295" w:type="dxa"/>
            <w:gridSpan w:val="2"/>
            <w:noWrap/>
            <w:tcMar>
              <w:top w:w="0" w:type="dxa"/>
              <w:left w:w="70" w:type="dxa"/>
              <w:bottom w:w="0" w:type="dxa"/>
              <w:right w:w="70" w:type="dxa"/>
            </w:tcMar>
            <w:vAlign w:val="center"/>
            <w:hideMark/>
          </w:tcPr>
          <w:p w:rsidR="00B865AB" w:rsidRDefault="00B865AB">
            <w:pPr>
              <w:spacing w:line="120" w:lineRule="atLeast"/>
              <w:jc w:val="center"/>
              <w:rPr>
                <w:sz w:val="24"/>
                <w:szCs w:val="24"/>
              </w:rPr>
            </w:pPr>
            <w:r>
              <w:t> </w:t>
            </w:r>
          </w:p>
        </w:tc>
        <w:tc>
          <w:tcPr>
            <w:tcW w:w="945" w:type="dxa"/>
            <w:tcBorders>
              <w:top w:val="nil"/>
              <w:left w:val="nil"/>
              <w:bottom w:val="nil"/>
              <w:right w:val="single" w:sz="8" w:space="0" w:color="auto"/>
            </w:tcBorders>
            <w:noWrap/>
            <w:tcMar>
              <w:top w:w="0" w:type="dxa"/>
              <w:left w:w="70" w:type="dxa"/>
              <w:bottom w:w="0" w:type="dxa"/>
              <w:right w:w="70" w:type="dxa"/>
            </w:tcMar>
            <w:vAlign w:val="center"/>
            <w:hideMark/>
          </w:tcPr>
          <w:p w:rsidR="00B865AB" w:rsidRDefault="00B865AB">
            <w:pPr>
              <w:spacing w:line="120" w:lineRule="atLeast"/>
              <w:jc w:val="center"/>
              <w:rPr>
                <w:sz w:val="24"/>
                <w:szCs w:val="24"/>
              </w:rPr>
            </w:pPr>
            <w:r>
              <w:t> </w:t>
            </w:r>
          </w:p>
        </w:tc>
      </w:tr>
      <w:tr w:rsidR="00B865AB" w:rsidTr="00B865AB">
        <w:trPr>
          <w:trHeight w:val="255"/>
        </w:trPr>
        <w:tc>
          <w:tcPr>
            <w:tcW w:w="3940"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B865AB" w:rsidRDefault="00B865AB">
            <w:pPr>
              <w:jc w:val="center"/>
              <w:rPr>
                <w:sz w:val="24"/>
                <w:szCs w:val="24"/>
              </w:rPr>
            </w:pPr>
            <w:r>
              <w:t>Maliyetlerdeki Aylık ve Yıllık Sapma Oranı</w:t>
            </w:r>
          </w:p>
        </w:tc>
        <w:tc>
          <w:tcPr>
            <w:tcW w:w="1660" w:type="dxa"/>
            <w:tcBorders>
              <w:top w:val="nil"/>
              <w:left w:val="nil"/>
              <w:bottom w:val="single" w:sz="8" w:space="0" w:color="auto"/>
              <w:right w:val="nil"/>
            </w:tcBorders>
            <w:noWrap/>
            <w:tcMar>
              <w:top w:w="0" w:type="dxa"/>
              <w:left w:w="70" w:type="dxa"/>
              <w:bottom w:w="0" w:type="dxa"/>
              <w:right w:w="70" w:type="dxa"/>
            </w:tcMar>
            <w:vAlign w:val="center"/>
            <w:hideMark/>
          </w:tcPr>
          <w:p w:rsidR="00B865AB" w:rsidRDefault="00B865AB">
            <w:pPr>
              <w:jc w:val="center"/>
              <w:rPr>
                <w:sz w:val="24"/>
                <w:szCs w:val="24"/>
              </w:rPr>
            </w:pPr>
            <w:r>
              <w:t>50,22%</w:t>
            </w:r>
          </w:p>
        </w:tc>
        <w:tc>
          <w:tcPr>
            <w:tcW w:w="1200" w:type="dxa"/>
            <w:tcBorders>
              <w:top w:val="nil"/>
              <w:left w:val="nil"/>
              <w:bottom w:val="single" w:sz="8" w:space="0" w:color="auto"/>
              <w:right w:val="nil"/>
            </w:tcBorders>
            <w:noWrap/>
            <w:tcMar>
              <w:top w:w="0" w:type="dxa"/>
              <w:left w:w="70" w:type="dxa"/>
              <w:bottom w:w="0" w:type="dxa"/>
              <w:right w:w="70" w:type="dxa"/>
            </w:tcMar>
            <w:vAlign w:val="center"/>
            <w:hideMark/>
          </w:tcPr>
          <w:p w:rsidR="00B865AB" w:rsidRDefault="00B865AB">
            <w:pPr>
              <w:jc w:val="center"/>
              <w:rPr>
                <w:sz w:val="24"/>
                <w:szCs w:val="24"/>
              </w:rPr>
            </w:pPr>
            <w:r>
              <w:t> </w:t>
            </w:r>
          </w:p>
        </w:tc>
        <w:tc>
          <w:tcPr>
            <w:tcW w:w="1295" w:type="dxa"/>
            <w:gridSpan w:val="2"/>
            <w:tcBorders>
              <w:top w:val="nil"/>
              <w:left w:val="nil"/>
              <w:bottom w:val="single" w:sz="8" w:space="0" w:color="auto"/>
              <w:right w:val="nil"/>
            </w:tcBorders>
            <w:noWrap/>
            <w:tcMar>
              <w:top w:w="0" w:type="dxa"/>
              <w:left w:w="70" w:type="dxa"/>
              <w:bottom w:w="0" w:type="dxa"/>
              <w:right w:w="70" w:type="dxa"/>
            </w:tcMar>
            <w:vAlign w:val="center"/>
            <w:hideMark/>
          </w:tcPr>
          <w:p w:rsidR="00B865AB" w:rsidRDefault="00B865AB">
            <w:pPr>
              <w:spacing w:before="100" w:beforeAutospacing="1"/>
              <w:jc w:val="center"/>
              <w:rPr>
                <w:sz w:val="24"/>
                <w:szCs w:val="24"/>
              </w:rPr>
            </w:pPr>
            <w:r>
              <w:t> </w:t>
            </w:r>
          </w:p>
        </w:tc>
        <w:tc>
          <w:tcPr>
            <w:tcW w:w="9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65AB" w:rsidRDefault="00B865AB">
            <w:pPr>
              <w:spacing w:before="100" w:beforeAutospacing="1"/>
              <w:jc w:val="center"/>
              <w:rPr>
                <w:sz w:val="24"/>
                <w:szCs w:val="24"/>
              </w:rPr>
            </w:pPr>
            <w:r>
              <w:t> </w:t>
            </w:r>
          </w:p>
        </w:tc>
      </w:tr>
    </w:tbl>
    <w:p w:rsidR="00B865AB" w:rsidRDefault="00B865AB" w:rsidP="00B865AB">
      <w:pPr>
        <w:spacing w:before="100" w:beforeAutospacing="1" w:after="120"/>
        <w:rPr>
          <w:rFonts w:ascii="Times New Roman" w:hAnsi="Times New Roman" w:cs="Times New Roman"/>
          <w:color w:val="000000"/>
          <w:sz w:val="24"/>
          <w:szCs w:val="24"/>
        </w:rPr>
      </w:pPr>
      <w:r>
        <w:rPr>
          <w:rFonts w:ascii="Tahoma" w:hAnsi="Tahoma" w:cs="Tahoma"/>
          <w:b/>
          <w:bCs/>
          <w:color w:val="000000"/>
        </w:rPr>
        <w:t>*</w:t>
      </w:r>
      <w:r>
        <w:rPr>
          <w:rFonts w:ascii="Tahoma" w:hAnsi="Tahoma" w:cs="Tahoma"/>
          <w:b/>
          <w:bCs/>
          <w:color w:val="000000"/>
          <w:sz w:val="20"/>
          <w:szCs w:val="20"/>
        </w:rPr>
        <w:t>Yukarıda yer alan tabloda görüldüğü üzere işverenin 1 (bir) kişilik asgari ücretli personelde ilave katlandığı Aylık yük 730,25.-TL olup, Bir yıllık ilave katlandığı yük 8.762,95.-TL’dir.</w:t>
      </w:r>
    </w:p>
    <w:p w:rsidR="00B865AB" w:rsidRDefault="00B865AB" w:rsidP="00B865AB">
      <w:pPr>
        <w:spacing w:before="100" w:beforeAutospacing="1" w:after="120"/>
        <w:rPr>
          <w:color w:val="000000"/>
        </w:rPr>
      </w:pPr>
      <w:r>
        <w:rPr>
          <w:rFonts w:ascii="Tahoma" w:hAnsi="Tahoma" w:cs="Tahoma"/>
          <w:color w:val="000000"/>
          <w:sz w:val="20"/>
          <w:szCs w:val="20"/>
        </w:rPr>
        <w:lastRenderedPageBreak/>
        <w:t>Konunun henüz dikkate alınmayan bir diğer yönü ise, 2015 yılında asgari ücretin 1.000-TL olduğunu dikkate aldığımızda asgari ücretin biraz üzerinde  (2015 Yılı için 1.100-1.400 TL bandında) çalışan personelin maaşı 2016 yılında ne olacak?</w:t>
      </w:r>
    </w:p>
    <w:p w:rsidR="00B865AB" w:rsidRDefault="00B865AB" w:rsidP="00B865AB">
      <w:pPr>
        <w:spacing w:before="100" w:beforeAutospacing="1" w:after="120"/>
        <w:rPr>
          <w:color w:val="000000"/>
        </w:rPr>
      </w:pPr>
      <w:r>
        <w:rPr>
          <w:rFonts w:ascii="Tahoma" w:hAnsi="Tahoma" w:cs="Tahoma"/>
          <w:color w:val="000000"/>
          <w:sz w:val="20"/>
          <w:szCs w:val="20"/>
        </w:rPr>
        <w:t xml:space="preserve">Asgari ücretin 1.000.-TL den 1.300-TL’ ye yükselmesi asgari ücretli için % 30 </w:t>
      </w:r>
      <w:proofErr w:type="spellStart"/>
      <w:r>
        <w:rPr>
          <w:rFonts w:ascii="Tahoma" w:hAnsi="Tahoma" w:cs="Tahoma"/>
          <w:color w:val="000000"/>
          <w:sz w:val="20"/>
          <w:szCs w:val="20"/>
        </w:rPr>
        <w:t>luk</w:t>
      </w:r>
      <w:proofErr w:type="spellEnd"/>
      <w:r>
        <w:rPr>
          <w:rFonts w:ascii="Tahoma" w:hAnsi="Tahoma" w:cs="Tahoma"/>
          <w:color w:val="000000"/>
          <w:sz w:val="20"/>
          <w:szCs w:val="20"/>
        </w:rPr>
        <w:t xml:space="preserve"> zam demek. 2015 yılında 1.200.-TL maaş alan personele % 10 zam yapıldığını düşündüğümüzde ücreti 1.320-TL olacak. Şimdi 2015 Yılında 1.200-TL maaş alan personelin bakış açısı nasıl olacak? Burada 1.320-TL’yi kabul mü edecek yoksa nasıl olsa asgari ücret 1.300-TL, bu işi her yerde bulurum diyerek iş arayışına mı girecek?</w:t>
      </w:r>
    </w:p>
    <w:p w:rsidR="00B865AB" w:rsidRDefault="00B865AB" w:rsidP="00B865AB">
      <w:pPr>
        <w:spacing w:before="100" w:beforeAutospacing="1" w:after="120"/>
        <w:rPr>
          <w:color w:val="000000"/>
        </w:rPr>
      </w:pPr>
      <w:r>
        <w:rPr>
          <w:rFonts w:ascii="Tahoma" w:hAnsi="Tahoma" w:cs="Tahoma"/>
          <w:color w:val="000000"/>
          <w:sz w:val="20"/>
          <w:szCs w:val="20"/>
        </w:rPr>
        <w:t xml:space="preserve">2016 Yılının işverene ciddi bir yük getireceği herkesçe bilinen bir gerçek. Ancak bir gerçek daha var ki bu değişimlerin İnsan kaynakları </w:t>
      </w:r>
      <w:proofErr w:type="gramStart"/>
      <w:r>
        <w:rPr>
          <w:rFonts w:ascii="Tahoma" w:hAnsi="Tahoma" w:cs="Tahoma"/>
          <w:color w:val="000000"/>
          <w:sz w:val="20"/>
          <w:szCs w:val="20"/>
        </w:rPr>
        <w:t>departmanına</w:t>
      </w:r>
      <w:proofErr w:type="gramEnd"/>
      <w:r>
        <w:rPr>
          <w:rFonts w:ascii="Tahoma" w:hAnsi="Tahoma" w:cs="Tahoma"/>
          <w:color w:val="000000"/>
          <w:sz w:val="20"/>
          <w:szCs w:val="20"/>
        </w:rPr>
        <w:t xml:space="preserve"> ve bütçe hazırlayıcılara etkisi olacaktır.</w:t>
      </w:r>
    </w:p>
    <w:p w:rsidR="00B865AB" w:rsidRDefault="00B865AB" w:rsidP="00B865AB">
      <w:pPr>
        <w:spacing w:before="100" w:beforeAutospacing="1" w:after="120"/>
        <w:rPr>
          <w:color w:val="000000"/>
        </w:rPr>
      </w:pPr>
      <w:r>
        <w:rPr>
          <w:rFonts w:ascii="Tahoma" w:hAnsi="Tahoma" w:cs="Tahoma"/>
          <w:color w:val="000000"/>
          <w:sz w:val="20"/>
          <w:szCs w:val="20"/>
        </w:rPr>
        <w:t xml:space="preserve">Neden mi? İşverenlerin asgari ücret ve biraz üzerinde çalışan personelini nasıl tutacağını analiz etmesi, işe giriş çıkış </w:t>
      </w:r>
      <w:proofErr w:type="gramStart"/>
      <w:r>
        <w:rPr>
          <w:rFonts w:ascii="Tahoma" w:hAnsi="Tahoma" w:cs="Tahoma"/>
          <w:color w:val="000000"/>
          <w:sz w:val="20"/>
          <w:szCs w:val="20"/>
        </w:rPr>
        <w:t>sirkülasyon</w:t>
      </w:r>
      <w:proofErr w:type="gramEnd"/>
      <w:r>
        <w:rPr>
          <w:rFonts w:ascii="Tahoma" w:hAnsi="Tahoma" w:cs="Tahoma"/>
          <w:color w:val="000000"/>
          <w:sz w:val="20"/>
          <w:szCs w:val="20"/>
        </w:rPr>
        <w:t xml:space="preserve"> artışının nasıl yönetileceği,  Bütçe hazırlayıcıları tarafından işverenlere nasıl bir projeksiyon çizileceği her zamankinden daha önemli hale gelecektir.</w:t>
      </w:r>
    </w:p>
    <w:p w:rsidR="00B865AB" w:rsidRDefault="00B865AB" w:rsidP="00B865AB">
      <w:pPr>
        <w:spacing w:before="100" w:beforeAutospacing="1" w:after="120"/>
        <w:rPr>
          <w:color w:val="000000"/>
        </w:rPr>
      </w:pPr>
      <w:r>
        <w:rPr>
          <w:rFonts w:ascii="Tahoma" w:hAnsi="Tahoma" w:cs="Tahoma"/>
          <w:b/>
          <w:bCs/>
          <w:i/>
          <w:iCs/>
          <w:color w:val="000000"/>
          <w:sz w:val="20"/>
          <w:szCs w:val="20"/>
        </w:rPr>
        <w:t>Yararlanılan kaynaklar;</w:t>
      </w:r>
    </w:p>
    <w:p w:rsidR="00B865AB" w:rsidRDefault="00B865AB" w:rsidP="00B865AB">
      <w:pPr>
        <w:rPr>
          <w:rFonts w:ascii="Tahoma" w:hAnsi="Tahoma" w:cs="Tahoma"/>
          <w:color w:val="000000"/>
          <w:sz w:val="20"/>
          <w:szCs w:val="20"/>
        </w:rPr>
      </w:pPr>
      <w:r>
        <w:rPr>
          <w:rFonts w:ascii="Tahoma" w:hAnsi="Tahoma" w:cs="Tahoma"/>
          <w:color w:val="000000"/>
          <w:sz w:val="20"/>
          <w:szCs w:val="20"/>
        </w:rPr>
        <w:t>-193 sayılı Gelir Vergisi Kanunu 103.Madde</w:t>
      </w:r>
    </w:p>
    <w:p w:rsidR="00B865AB" w:rsidRDefault="00B865AB" w:rsidP="00B865AB">
      <w:pPr>
        <w:rPr>
          <w:rFonts w:ascii="Tahoma" w:hAnsi="Tahoma" w:cs="Tahoma"/>
          <w:color w:val="000000"/>
          <w:sz w:val="20"/>
          <w:szCs w:val="20"/>
        </w:rPr>
      </w:pPr>
      <w:r>
        <w:rPr>
          <w:rFonts w:ascii="Tahoma" w:hAnsi="Tahoma" w:cs="Tahoma"/>
          <w:color w:val="000000"/>
          <w:sz w:val="20"/>
          <w:szCs w:val="20"/>
        </w:rPr>
        <w:t>-5510 Sayılı Sosyal Sigortalar ve Genel Sağlık Sigortası kanunu 82.maddesi</w:t>
      </w:r>
    </w:p>
    <w:p w:rsidR="00B865AB" w:rsidRDefault="00B865AB" w:rsidP="00B865AB">
      <w:pPr>
        <w:rPr>
          <w:rFonts w:ascii="Times New Roman" w:hAnsi="Times New Roman" w:cs="Times New Roman"/>
          <w:color w:val="000000"/>
          <w:sz w:val="27"/>
          <w:szCs w:val="27"/>
        </w:rPr>
      </w:pPr>
      <w:r>
        <w:rPr>
          <w:rStyle w:val="etiketbaslik"/>
          <w:rFonts w:ascii="Tahoma" w:hAnsi="Tahoma" w:cs="Tahoma"/>
          <w:b/>
          <w:bCs/>
          <w:color w:val="000000"/>
          <w:sz w:val="20"/>
          <w:szCs w:val="20"/>
        </w:rPr>
        <w:t>Etiketler : </w:t>
      </w:r>
      <w:hyperlink r:id="rId8" w:history="1">
        <w:r>
          <w:rPr>
            <w:rStyle w:val="Kpr"/>
            <w:rFonts w:ascii="Tahoma" w:hAnsi="Tahoma" w:cs="Tahoma"/>
            <w:b/>
            <w:bCs/>
            <w:color w:val="000000"/>
            <w:sz w:val="20"/>
            <w:szCs w:val="20"/>
          </w:rPr>
          <w:t>Asgari Ücret</w:t>
        </w:r>
      </w:hyperlink>
      <w:r>
        <w:rPr>
          <w:color w:val="000000"/>
          <w:sz w:val="27"/>
          <w:szCs w:val="27"/>
        </w:rPr>
        <w:t>    </w:t>
      </w:r>
    </w:p>
    <w:p w:rsidR="00F95603" w:rsidRPr="00B865AB" w:rsidRDefault="00F95603" w:rsidP="00B865AB"/>
    <w:sectPr w:rsidR="00F95603" w:rsidRPr="00B86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EB" w:rsidRDefault="005620EB" w:rsidP="007978FE">
      <w:pPr>
        <w:spacing w:after="0" w:line="240" w:lineRule="auto"/>
      </w:pPr>
      <w:r>
        <w:separator/>
      </w:r>
    </w:p>
  </w:endnote>
  <w:endnote w:type="continuationSeparator" w:id="0">
    <w:p w:rsidR="005620EB" w:rsidRDefault="005620EB"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EB" w:rsidRDefault="005620EB" w:rsidP="007978FE">
      <w:pPr>
        <w:spacing w:after="0" w:line="240" w:lineRule="auto"/>
      </w:pPr>
      <w:r>
        <w:separator/>
      </w:r>
    </w:p>
  </w:footnote>
  <w:footnote w:type="continuationSeparator" w:id="0">
    <w:p w:rsidR="005620EB" w:rsidRDefault="005620EB"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15BF"/>
    <w:rsid w:val="00045063"/>
    <w:rsid w:val="00063A63"/>
    <w:rsid w:val="00065A66"/>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BA"/>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20EB"/>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70500"/>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2E"/>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D59C9"/>
    <w:rsid w:val="009D6C92"/>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01FE"/>
    <w:rsid w:val="00B42D13"/>
    <w:rsid w:val="00B4301E"/>
    <w:rsid w:val="00B51309"/>
    <w:rsid w:val="00B52570"/>
    <w:rsid w:val="00B56FEE"/>
    <w:rsid w:val="00B612FF"/>
    <w:rsid w:val="00B641E7"/>
    <w:rsid w:val="00B70210"/>
    <w:rsid w:val="00B7094C"/>
    <w:rsid w:val="00B80CAE"/>
    <w:rsid w:val="00B865AB"/>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16542"/>
    <w:rsid w:val="00D34DC0"/>
    <w:rsid w:val="00D43451"/>
    <w:rsid w:val="00D44EC2"/>
    <w:rsid w:val="00D51255"/>
    <w:rsid w:val="00D5336D"/>
    <w:rsid w:val="00D5736C"/>
    <w:rsid w:val="00D63CD7"/>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1FFE"/>
    <w:rsid w:val="00F76016"/>
    <w:rsid w:val="00F8235A"/>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etiketbaslik">
    <w:name w:val="etiketbaslik"/>
    <w:basedOn w:val="VarsaylanParagrafYazTipi"/>
    <w:rsid w:val="00B86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etiketbaslik">
    <w:name w:val="etiketbaslik"/>
    <w:basedOn w:val="VarsaylanParagrafYazTipi"/>
    <w:rsid w:val="00B8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6853">
      <w:bodyDiv w:val="1"/>
      <w:marLeft w:val="0"/>
      <w:marRight w:val="0"/>
      <w:marTop w:val="0"/>
      <w:marBottom w:val="0"/>
      <w:divBdr>
        <w:top w:val="none" w:sz="0" w:space="0" w:color="auto"/>
        <w:left w:val="none" w:sz="0" w:space="0" w:color="auto"/>
        <w:bottom w:val="none" w:sz="0" w:space="0" w:color="auto"/>
        <w:right w:val="none" w:sz="0" w:space="0" w:color="auto"/>
      </w:divBdr>
      <w:divsChild>
        <w:div w:id="832334129">
          <w:marLeft w:val="0"/>
          <w:marRight w:val="0"/>
          <w:marTop w:val="0"/>
          <w:marBottom w:val="0"/>
          <w:divBdr>
            <w:top w:val="none" w:sz="0" w:space="0" w:color="auto"/>
            <w:left w:val="none" w:sz="0" w:space="0" w:color="auto"/>
            <w:bottom w:val="none" w:sz="0" w:space="0" w:color="auto"/>
            <w:right w:val="none" w:sz="0" w:space="0" w:color="auto"/>
          </w:divBdr>
          <w:divsChild>
            <w:div w:id="194738682">
              <w:marLeft w:val="0"/>
              <w:marRight w:val="0"/>
              <w:marTop w:val="0"/>
              <w:marBottom w:val="0"/>
              <w:divBdr>
                <w:top w:val="none" w:sz="0" w:space="0" w:color="auto"/>
                <w:left w:val="none" w:sz="0" w:space="0" w:color="auto"/>
                <w:bottom w:val="none" w:sz="0" w:space="0" w:color="auto"/>
                <w:right w:val="none" w:sz="0" w:space="0" w:color="auto"/>
              </w:divBdr>
            </w:div>
            <w:div w:id="370766704">
              <w:marLeft w:val="0"/>
              <w:marRight w:val="0"/>
              <w:marTop w:val="0"/>
              <w:marBottom w:val="0"/>
              <w:divBdr>
                <w:top w:val="none" w:sz="0" w:space="0" w:color="auto"/>
                <w:left w:val="none" w:sz="0" w:space="0" w:color="auto"/>
                <w:bottom w:val="none" w:sz="0" w:space="0" w:color="auto"/>
                <w:right w:val="none" w:sz="0" w:space="0" w:color="auto"/>
              </w:divBdr>
              <w:divsChild>
                <w:div w:id="918364770">
                  <w:marLeft w:val="0"/>
                  <w:marRight w:val="0"/>
                  <w:marTop w:val="0"/>
                  <w:marBottom w:val="0"/>
                  <w:divBdr>
                    <w:top w:val="none" w:sz="0" w:space="0" w:color="auto"/>
                    <w:left w:val="none" w:sz="0" w:space="0" w:color="auto"/>
                    <w:bottom w:val="none" w:sz="0" w:space="0" w:color="auto"/>
                    <w:right w:val="none" w:sz="0" w:space="0" w:color="auto"/>
                  </w:divBdr>
                </w:div>
                <w:div w:id="5651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5711">
          <w:marLeft w:val="0"/>
          <w:marRight w:val="0"/>
          <w:marTop w:val="0"/>
          <w:marBottom w:val="0"/>
          <w:divBdr>
            <w:top w:val="none" w:sz="0" w:space="0" w:color="auto"/>
            <w:left w:val="none" w:sz="0" w:space="0" w:color="auto"/>
            <w:bottom w:val="none" w:sz="0" w:space="0" w:color="auto"/>
            <w:right w:val="none" w:sz="0" w:space="0" w:color="auto"/>
          </w:divBdr>
        </w:div>
      </w:divsChild>
    </w:div>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847912552">
      <w:bodyDiv w:val="1"/>
      <w:marLeft w:val="0"/>
      <w:marRight w:val="0"/>
      <w:marTop w:val="0"/>
      <w:marBottom w:val="0"/>
      <w:divBdr>
        <w:top w:val="none" w:sz="0" w:space="0" w:color="auto"/>
        <w:left w:val="none" w:sz="0" w:space="0" w:color="auto"/>
        <w:bottom w:val="none" w:sz="0" w:space="0" w:color="auto"/>
        <w:right w:val="none" w:sz="0" w:space="0" w:color="auto"/>
      </w:divBdr>
    </w:div>
    <w:div w:id="1081171665">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507132601">
      <w:bodyDiv w:val="1"/>
      <w:marLeft w:val="0"/>
      <w:marRight w:val="0"/>
      <w:marTop w:val="0"/>
      <w:marBottom w:val="0"/>
      <w:divBdr>
        <w:top w:val="none" w:sz="0" w:space="0" w:color="auto"/>
        <w:left w:val="none" w:sz="0" w:space="0" w:color="auto"/>
        <w:bottom w:val="none" w:sz="0" w:space="0" w:color="auto"/>
        <w:right w:val="none" w:sz="0" w:space="0" w:color="auto"/>
      </w:divBdr>
    </w:div>
    <w:div w:id="1524368141">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 w:id="20429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anturk.com.tr/aramasonuc.aspx?ara=Asgari%20%C3%9Ccr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672</Words>
  <Characters>3833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cp:lastPrinted>2017-07-26T12:56:00Z</cp:lastPrinted>
  <dcterms:created xsi:type="dcterms:W3CDTF">2017-07-26T08:04:00Z</dcterms:created>
  <dcterms:modified xsi:type="dcterms:W3CDTF">2017-08-10T06:34:00Z</dcterms:modified>
</cp:coreProperties>
</file>